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0" w:line="240" w:lineRule="exact"/>
        <w:ind w:left="360"/>
        <w:jc w:val="right"/>
        <w:rPr>
          <w:rFonts w:ascii="Times New Roman" w:hAnsi="Times New Roman" w:eastAsia="Calibri" w:cs="Times New Roman"/>
          <w:sz w:val="18"/>
          <w:szCs w:val="18"/>
        </w:rPr>
      </w:pPr>
      <w:r>
        <w:rPr>
          <w:rFonts w:ascii="Times New Roman" w:hAnsi="Times New Roman" w:eastAsia="Calibri" w:cs="Times New Roman"/>
          <w:sz w:val="18"/>
          <w:szCs w:val="18"/>
          <w:lang w:eastAsia="ru-RU"/>
        </w:rPr>
      </w:r>
      <w:r>
        <w:rPr>
          <w:rFonts w:ascii="Times New Roman" w:hAnsi="Times New Roman" w:eastAsia="Calibri" w:cs="Times New Roman"/>
          <w:sz w:val="18"/>
          <w:szCs w:val="18"/>
        </w:rPr>
        <w:t xml:space="preserve">Вносится в порядке нормотворческой инициативы</w:t>
      </w:r>
      <w:r>
        <w:rPr>
          <w:rFonts w:ascii="Times New Roman" w:hAnsi="Times New Roman" w:eastAsia="Calibri" w:cs="Times New Roman"/>
          <w:sz w:val="18"/>
          <w:szCs w:val="18"/>
        </w:rPr>
      </w:r>
      <w:r>
        <w:rPr>
          <w:rFonts w:ascii="Times New Roman" w:hAnsi="Times New Roman" w:eastAsia="Calibri" w:cs="Times New Roman"/>
          <w:sz w:val="18"/>
          <w:szCs w:val="18"/>
        </w:rPr>
      </w:r>
    </w:p>
    <w:p>
      <w:pPr>
        <w:pBdr/>
        <w:spacing w:after="0" w:line="240" w:lineRule="exact"/>
        <w:ind w:firstLine="348" w:left="360"/>
        <w:jc w:val="right"/>
        <w:rPr>
          <w:rFonts w:ascii="Times New Roman" w:hAnsi="Times New Roman" w:eastAsia="Calibri" w:cs="Times New Roman"/>
          <w:sz w:val="18"/>
          <w:szCs w:val="18"/>
        </w:rPr>
      </w:pPr>
      <w:r>
        <w:rPr>
          <w:rFonts w:ascii="Times New Roman" w:hAnsi="Times New Roman" w:eastAsia="Calibri" w:cs="Times New Roman"/>
          <w:sz w:val="18"/>
          <w:szCs w:val="18"/>
        </w:rPr>
        <w:t xml:space="preserve">Главой городского округа</w:t>
      </w:r>
      <w:r>
        <w:rPr>
          <w:rFonts w:ascii="Times New Roman" w:hAnsi="Times New Roman" w:eastAsia="Calibri" w:cs="Times New Roman"/>
          <w:sz w:val="18"/>
          <w:szCs w:val="18"/>
        </w:rPr>
      </w:r>
      <w:r>
        <w:rPr>
          <w:rFonts w:ascii="Times New Roman" w:hAnsi="Times New Roman" w:eastAsia="Calibri" w:cs="Times New Roman"/>
          <w:sz w:val="18"/>
          <w:szCs w:val="18"/>
        </w:rPr>
      </w:r>
    </w:p>
    <w:p>
      <w:pPr>
        <w:pBdr/>
        <w:spacing w:after="0" w:line="240" w:lineRule="exact"/>
        <w:ind w:left="360"/>
        <w:jc w:val="right"/>
        <w:rPr>
          <w:rFonts w:ascii="Times New Roman" w:hAnsi="Times New Roman" w:eastAsia="Calibri" w:cs="Times New Roman"/>
          <w:sz w:val="18"/>
          <w:szCs w:val="18"/>
        </w:rPr>
      </w:pPr>
      <w:r>
        <w:rPr>
          <w:rFonts w:ascii="Times New Roman" w:hAnsi="Times New Roman" w:eastAsia="Calibri" w:cs="Times New Roman"/>
          <w:sz w:val="18"/>
          <w:szCs w:val="18"/>
        </w:rPr>
        <w:t xml:space="preserve">«поселок </w:t>
      </w:r>
      <w:r>
        <w:rPr>
          <w:rFonts w:ascii="Times New Roman" w:hAnsi="Times New Roman" w:eastAsia="Calibri" w:cs="Times New Roman"/>
          <w:sz w:val="18"/>
          <w:szCs w:val="18"/>
        </w:rPr>
        <w:t xml:space="preserve">Палана»  И.О.</w:t>
      </w:r>
      <w:r>
        <w:rPr>
          <w:rFonts w:ascii="Times New Roman" w:hAnsi="Times New Roman" w:eastAsia="Calibri" w:cs="Times New Roman"/>
          <w:sz w:val="18"/>
          <w:szCs w:val="18"/>
        </w:rPr>
        <w:t xml:space="preserve"> Щербаковым</w:t>
      </w:r>
      <w:r>
        <w:rPr>
          <w:rFonts w:ascii="Times New Roman" w:hAnsi="Times New Roman" w:eastAsia="Calibri" w:cs="Times New Roman"/>
          <w:sz w:val="18"/>
          <w:szCs w:val="18"/>
        </w:rPr>
      </w:r>
      <w:r>
        <w:rPr>
          <w:rFonts w:ascii="Times New Roman" w:hAnsi="Times New Roman" w:eastAsia="Calibri" w:cs="Times New Roman"/>
          <w:sz w:val="18"/>
          <w:szCs w:val="18"/>
        </w:rPr>
      </w:r>
    </w:p>
    <w:p>
      <w:pPr>
        <w:pBdr/>
        <w:spacing w:after="0" w:line="240" w:lineRule="exact"/>
        <w:ind w:left="360"/>
        <w:jc w:val="right"/>
        <w:rPr>
          <w:rFonts w:ascii="Times New Roman" w:hAnsi="Times New Roman" w:eastAsia="Calibri" w:cs="Times New Roman"/>
          <w:sz w:val="18"/>
          <w:szCs w:val="18"/>
        </w:rPr>
      </w:pPr>
      <w:r>
        <w:rPr>
          <w:rFonts w:ascii="Times New Roman" w:hAnsi="Times New Roman" w:eastAsia="Calibri" w:cs="Times New Roman"/>
          <w:sz w:val="18"/>
          <w:szCs w:val="18"/>
        </w:rPr>
      </w:r>
      <w:r>
        <w:rPr>
          <w:rFonts w:ascii="Times New Roman" w:hAnsi="Times New Roman" w:eastAsia="Calibri" w:cs="Times New Roman"/>
          <w:sz w:val="18"/>
          <w:szCs w:val="18"/>
        </w:rPr>
      </w:r>
      <w:r>
        <w:rPr>
          <w:rFonts w:ascii="Times New Roman" w:hAnsi="Times New Roman" w:eastAsia="Calibri" w:cs="Times New Roman"/>
          <w:sz w:val="18"/>
          <w:szCs w:val="18"/>
        </w:rPr>
      </w:r>
    </w:p>
    <w:p>
      <w:pPr>
        <w:pBdr/>
        <w:spacing w:after="0" w:line="240" w:lineRule="exact"/>
        <w:ind w:left="360"/>
        <w:jc w:val="right"/>
        <w:rPr>
          <w:rFonts w:ascii="Times New Roman" w:hAnsi="Times New Roman" w:eastAsia="Calibri" w:cs="Times New Roman"/>
          <w:sz w:val="18"/>
          <w:szCs w:val="18"/>
        </w:rPr>
      </w:pPr>
      <w:r>
        <w:rPr>
          <w:rFonts w:ascii="Times New Roman" w:hAnsi="Times New Roman" w:eastAsia="Calibri" w:cs="Times New Roman"/>
          <w:sz w:val="18"/>
          <w:szCs w:val="18"/>
        </w:rPr>
        <w:t xml:space="preserve">Разработчик: Комиссия по разработке </w:t>
      </w:r>
      <w:r>
        <w:rPr>
          <w:rFonts w:ascii="Times New Roman" w:hAnsi="Times New Roman" w:eastAsia="Calibri" w:cs="Times New Roman"/>
          <w:sz w:val="18"/>
          <w:szCs w:val="18"/>
        </w:rPr>
      </w:r>
      <w:r>
        <w:rPr>
          <w:rFonts w:ascii="Times New Roman" w:hAnsi="Times New Roman" w:eastAsia="Calibri" w:cs="Times New Roman"/>
          <w:sz w:val="18"/>
          <w:szCs w:val="18"/>
        </w:rPr>
      </w:r>
    </w:p>
    <w:p>
      <w:pPr>
        <w:pBdr/>
        <w:spacing w:after="0" w:line="240" w:lineRule="exact"/>
        <w:ind w:left="360"/>
        <w:jc w:val="right"/>
        <w:rPr>
          <w:rFonts w:ascii="Times New Roman" w:hAnsi="Times New Roman" w:eastAsia="Calibri" w:cs="Times New Roman"/>
          <w:sz w:val="18"/>
          <w:szCs w:val="18"/>
        </w:rPr>
      </w:pPr>
      <w:r>
        <w:rPr>
          <w:rFonts w:ascii="Times New Roman" w:hAnsi="Times New Roman" w:eastAsia="Calibri" w:cs="Times New Roman"/>
          <w:sz w:val="18"/>
          <w:szCs w:val="18"/>
        </w:rPr>
        <w:t xml:space="preserve">Правил землепользования и застройки </w:t>
      </w:r>
      <w:r>
        <w:rPr>
          <w:rFonts w:ascii="Times New Roman" w:hAnsi="Times New Roman" w:eastAsia="Calibri" w:cs="Times New Roman"/>
          <w:sz w:val="18"/>
          <w:szCs w:val="18"/>
        </w:rPr>
      </w:r>
      <w:r>
        <w:rPr>
          <w:rFonts w:ascii="Times New Roman" w:hAnsi="Times New Roman" w:eastAsia="Calibri" w:cs="Times New Roman"/>
          <w:sz w:val="18"/>
          <w:szCs w:val="18"/>
        </w:rPr>
      </w:r>
    </w:p>
    <w:p>
      <w:pPr>
        <w:pBdr/>
        <w:spacing w:after="0" w:line="240" w:lineRule="exact"/>
        <w:ind w:left="360"/>
        <w:jc w:val="right"/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  <w:sz w:val="18"/>
          <w:szCs w:val="18"/>
        </w:rPr>
        <w:t xml:space="preserve">городского округа «поселок Палана»</w:t>
      </w:r>
      <w:r>
        <w:rPr>
          <w:rFonts w:ascii="Times New Roman" w:hAnsi="Times New Roman" w:eastAsia="Calibri" w:cs="Times New Roman"/>
        </w:rPr>
      </w:r>
      <w:r>
        <w:rPr>
          <w:rFonts w:ascii="Times New Roman" w:hAnsi="Times New Roman" w:eastAsia="Calibri" w:cs="Times New Roman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eastAsia="Calibri" w:cs="Times New Roman"/>
          <w:sz w:val="24"/>
        </w:rPr>
      </w:pPr>
      <w:r>
        <w:rPr>
          <w:rFonts w:ascii="Times New Roman" w:hAnsi="Times New Roman" w:eastAsia="Calibri" w:cs="Times New Roman"/>
          <w:sz w:val="24"/>
        </w:rPr>
      </w:r>
      <w:r>
        <w:rPr>
          <w:rFonts w:ascii="Times New Roman" w:hAnsi="Times New Roman" w:eastAsia="Calibri" w:cs="Times New Roman"/>
          <w:sz w:val="24"/>
        </w:rPr>
      </w:r>
      <w:r>
        <w:rPr>
          <w:rFonts w:ascii="Times New Roman" w:hAnsi="Times New Roman" w:eastAsia="Calibri" w:cs="Times New Roman"/>
          <w:sz w:val="24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К А М Ч А Т С К И Й        К Р А Й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С О В Е Т     Д Е П У Т А Т О В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ГОРОДСКОГО ОКРУГА «ПОСЕЛОК ПАЛАНА»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eastAsia="Times New Roman" w:cs="Times New Roman"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</w:t>
      </w:r>
      <w:r>
        <w:rPr>
          <w:rFonts w:ascii="Times New Roman" w:hAnsi="Times New Roman" w:eastAsia="Times New Roman" w:cs="Times New Roman"/>
          <w:sz w:val="24"/>
          <w:szCs w:val="24"/>
          <w:u w:val="single"/>
        </w:rPr>
        <w:t xml:space="preserve">  </w:t>
      </w:r>
      <w:r>
        <w:rPr>
          <w:rFonts w:ascii="Times New Roman" w:hAnsi="Times New Roman" w:eastAsia="Times New Roman" w:cs="Times New Roman"/>
          <w:sz w:val="24"/>
          <w:szCs w:val="24"/>
          <w:u w:val="single"/>
        </w:rPr>
      </w:r>
      <w:r>
        <w:rPr>
          <w:rFonts w:ascii="Times New Roman" w:hAnsi="Times New Roman" w:eastAsia="Times New Roman" w:cs="Times New Roman"/>
          <w:sz w:val="24"/>
          <w:szCs w:val="24"/>
          <w:u w:val="single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eastAsia="Calibri" w:cs="Times New Roman"/>
          <w:b/>
          <w:bCs/>
          <w:sz w:val="24"/>
          <w:szCs w:val="24"/>
        </w:rPr>
      </w:pPr>
      <w:r>
        <w:rPr>
          <w:rFonts w:ascii="Times New Roman" w:hAnsi="Times New Roman" w:eastAsia="Calibri" w:cs="Times New Roman"/>
          <w:b/>
          <w:bCs/>
          <w:sz w:val="24"/>
          <w:szCs w:val="24"/>
        </w:rPr>
        <w:t xml:space="preserve">( </w:t>
      </w:r>
      <w:r>
        <w:rPr>
          <w:rFonts w:ascii="Times New Roman" w:hAnsi="Times New Roman" w:eastAsia="Calibri" w:cs="Times New Roman"/>
          <w:b/>
          <w:bCs/>
          <w:sz w:val="24"/>
          <w:szCs w:val="24"/>
        </w:rPr>
        <w:t xml:space="preserve">9</w:t>
      </w:r>
      <w:r>
        <w:rPr>
          <w:rFonts w:ascii="Times New Roman" w:hAnsi="Times New Roman" w:eastAsia="Calibri" w:cs="Times New Roman"/>
          <w:b/>
          <w:bCs/>
          <w:sz w:val="24"/>
          <w:szCs w:val="24"/>
        </w:rPr>
        <w:t xml:space="preserve">-й созыв) </w:t>
      </w:r>
      <w:r>
        <w:rPr>
          <w:rFonts w:ascii="Times New Roman" w:hAnsi="Times New Roman" w:eastAsia="Calibri" w:cs="Times New Roman"/>
          <w:b/>
          <w:bCs/>
          <w:sz w:val="24"/>
          <w:szCs w:val="24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«___»_________202</w:t>
      </w:r>
      <w:r>
        <w:rPr>
          <w:rFonts w:ascii="Times New Roman" w:hAnsi="Times New Roman" w:eastAsia="Calibri" w:cs="Times New Roman"/>
          <w:sz w:val="24"/>
          <w:szCs w:val="24"/>
        </w:rPr>
        <w:t xml:space="preserve">6 </w:t>
      </w:r>
      <w:bookmarkStart w:id="0" w:name="_GoBack"/>
      <w:r/>
      <w:bookmarkEnd w:id="0"/>
      <w:r>
        <w:rPr>
          <w:rFonts w:ascii="Times New Roman" w:hAnsi="Times New Roman" w:eastAsia="Calibri" w:cs="Times New Roman"/>
          <w:sz w:val="24"/>
          <w:szCs w:val="24"/>
        </w:rPr>
        <w:t xml:space="preserve">г.</w:t>
      </w:r>
      <w:r>
        <w:rPr>
          <w:rFonts w:ascii="Times New Roman" w:hAnsi="Times New Roman" w:eastAsia="Calibri" w:cs="Times New Roman"/>
          <w:sz w:val="24"/>
          <w:szCs w:val="24"/>
        </w:rPr>
        <w:tab/>
      </w:r>
      <w:r>
        <w:rPr>
          <w:rFonts w:ascii="Times New Roman" w:hAnsi="Times New Roman" w:eastAsia="Calibri" w:cs="Times New Roman"/>
          <w:sz w:val="24"/>
          <w:szCs w:val="24"/>
        </w:rPr>
        <w:tab/>
      </w:r>
      <w:r>
        <w:rPr>
          <w:rFonts w:ascii="Times New Roman" w:hAnsi="Times New Roman" w:eastAsia="Calibri" w:cs="Times New Roman"/>
          <w:sz w:val="24"/>
          <w:szCs w:val="24"/>
        </w:rPr>
        <w:tab/>
      </w:r>
      <w:r>
        <w:rPr>
          <w:rFonts w:ascii="Times New Roman" w:hAnsi="Times New Roman" w:eastAsia="Calibri" w:cs="Times New Roman"/>
          <w:sz w:val="24"/>
          <w:szCs w:val="24"/>
        </w:rPr>
        <w:tab/>
        <w:t xml:space="preserve">          </w:t>
      </w:r>
      <w:r>
        <w:rPr>
          <w:rFonts w:ascii="Times New Roman" w:hAnsi="Times New Roman" w:eastAsia="Calibri" w:cs="Times New Roman"/>
          <w:sz w:val="24"/>
          <w:szCs w:val="24"/>
        </w:rPr>
        <w:tab/>
      </w:r>
      <w:r>
        <w:rPr>
          <w:rFonts w:ascii="Times New Roman" w:hAnsi="Times New Roman" w:eastAsia="Calibri" w:cs="Times New Roman"/>
          <w:sz w:val="24"/>
          <w:szCs w:val="24"/>
        </w:rPr>
        <w:tab/>
      </w:r>
      <w:r>
        <w:rPr>
          <w:rFonts w:ascii="Times New Roman" w:hAnsi="Times New Roman" w:eastAsia="Calibri" w:cs="Times New Roman"/>
          <w:sz w:val="24"/>
          <w:szCs w:val="24"/>
        </w:rPr>
        <w:tab/>
      </w:r>
      <w:r>
        <w:rPr>
          <w:rFonts w:ascii="Times New Roman" w:hAnsi="Times New Roman" w:eastAsia="Calibri" w:cs="Times New Roman"/>
          <w:sz w:val="24"/>
          <w:szCs w:val="24"/>
        </w:rPr>
        <w:tab/>
      </w:r>
      <w:r>
        <w:rPr>
          <w:rFonts w:ascii="Times New Roman" w:hAnsi="Times New Roman" w:eastAsia="Calibri" w:cs="Times New Roman"/>
          <w:sz w:val="24"/>
          <w:szCs w:val="24"/>
        </w:rPr>
        <w:t xml:space="preserve">пгт</w:t>
      </w:r>
      <w:r>
        <w:rPr>
          <w:rFonts w:ascii="Times New Roman" w:hAnsi="Times New Roman" w:eastAsia="Calibri" w:cs="Times New Roman"/>
          <w:sz w:val="24"/>
          <w:szCs w:val="24"/>
        </w:rPr>
        <w:t xml:space="preserve">. Палана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eastAsia="Calibri" w:cs="Times New Roman"/>
          <w:b/>
          <w:bCs/>
          <w:sz w:val="24"/>
          <w:szCs w:val="24"/>
        </w:rPr>
      </w:pPr>
      <w:r>
        <w:rPr>
          <w:rFonts w:ascii="Times New Roman" w:hAnsi="Times New Roman" w:eastAsia="Calibri" w:cs="Times New Roman"/>
          <w:b/>
          <w:bCs/>
          <w:sz w:val="24"/>
          <w:szCs w:val="24"/>
        </w:rPr>
        <w:t xml:space="preserve">                                          </w:t>
      </w:r>
      <w:r>
        <w:rPr>
          <w:rFonts w:ascii="Times New Roman" w:hAnsi="Times New Roman" w:eastAsia="Calibri" w:cs="Times New Roman"/>
          <w:b/>
          <w:bCs/>
          <w:sz w:val="24"/>
          <w:szCs w:val="24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</w:rPr>
      </w:r>
    </w:p>
    <w:p>
      <w:pPr>
        <w:pBdr/>
        <w:spacing w:after="0" w:line="360" w:lineRule="auto"/>
        <w:ind/>
        <w:jc w:val="center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bCs/>
          <w:sz w:val="24"/>
          <w:szCs w:val="24"/>
        </w:rPr>
        <w:t xml:space="preserve">РЕШЕНИЕ – проект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tbl>
      <w:tblPr>
        <w:tblW w:w="0" w:type="auto"/>
        <w:tblBorders/>
        <w:tblpPr w:horzAnchor="margin" w:tblpXSpec="left" w:vertAnchor="text" w:tblpY="306" w:leftFromText="180" w:topFromText="0" w:rightFromText="180" w:bottomFromText="0"/>
        <w:tblLook w:val="00A0" w:firstRow="1" w:lastRow="0" w:firstColumn="1" w:lastColumn="0" w:noHBand="0" w:noVBand="0"/>
      </w:tblPr>
      <w:tblGrid>
        <w:gridCol w:w="4772"/>
      </w:tblGrid>
      <w:tr>
        <w:trPr>
          <w:trHeight w:val="898"/>
        </w:trPr>
        <w:tc>
          <w:tcPr>
            <w:tcBorders/>
            <w:tcW w:w="4772" w:type="dxa"/>
          </w:tcPr>
          <w:p>
            <w:pPr>
              <w:pBdr/>
              <w:spacing w:after="0" w:line="240" w:lineRule="auto"/>
              <w:ind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</w:rPr>
              <w:t xml:space="preserve">О   принятии нормативного правового акта «О внесении изменений в нормативный правовой акт </w:t>
            </w:r>
            <w:r>
              <w:rPr>
                <w:rFonts w:ascii="Times New Roman" w:hAnsi="Times New Roman" w:eastAsia="Calibri" w:cs="Times New Roman"/>
                <w:sz w:val="24"/>
              </w:rPr>
              <w:t xml:space="preserve">от 12.05.2022 №</w:t>
            </w:r>
            <w:r>
              <w:rPr>
                <w:rFonts w:ascii="Times New Roman" w:hAnsi="Times New Roman" w:eastAsia="Calibri" w:cs="Times New Roman"/>
                <w:sz w:val="24"/>
              </w:rPr>
              <w:t xml:space="preserve">28-р/08-22-НПА </w:t>
            </w:r>
            <w:r>
              <w:rPr>
                <w:rFonts w:ascii="Times New Roman" w:hAnsi="Times New Roman" w:eastAsia="Calibri" w:cs="Times New Roman"/>
                <w:sz w:val="24"/>
              </w:rPr>
              <w:t xml:space="preserve">«Правила землепользования и застройки городского округа «поселок Палана»</w:t>
            </w:r>
            <w:r>
              <w:rPr>
                <w:rFonts w:ascii="Times New Roman" w:hAnsi="Times New Roman" w:eastAsia="Calibri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</w:tbl>
    <w:p>
      <w:pPr>
        <w:pBdr/>
        <w:spacing w:after="0" w:line="240" w:lineRule="auto"/>
        <w:ind/>
        <w:jc w:val="both"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</w:r>
      <w:r>
        <w:rPr>
          <w:rFonts w:ascii="Times New Roman" w:hAnsi="Times New Roman" w:eastAsia="Calibri" w:cs="Times New Roman"/>
          <w:b/>
          <w:sz w:val="24"/>
          <w:szCs w:val="24"/>
        </w:rPr>
      </w:r>
      <w:r>
        <w:rPr>
          <w:rFonts w:ascii="Times New Roman" w:hAnsi="Times New Roman" w:eastAsia="Calibri" w:cs="Times New Roman"/>
          <w:b/>
          <w:sz w:val="24"/>
          <w:szCs w:val="24"/>
        </w:rPr>
      </w:r>
    </w:p>
    <w:p>
      <w:pPr>
        <w:pBdr/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pBdr/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pBdr/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pBdr/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pBdr/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pBdr/>
        <w:tabs>
          <w:tab w:val="left" w:leader="none" w:pos="0"/>
        </w:tabs>
        <w:spacing w:after="0" w:line="240" w:lineRule="auto"/>
        <w:ind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pBdr/>
        <w:tabs>
          <w:tab w:val="left" w:leader="none" w:pos="0"/>
        </w:tabs>
        <w:spacing w:after="0" w:line="240" w:lineRule="auto"/>
        <w:ind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pBdr/>
        <w:tabs>
          <w:tab w:val="left" w:leader="none" w:pos="0"/>
        </w:tabs>
        <w:spacing w:after="0" w:line="240" w:lineRule="auto"/>
        <w:ind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pBdr/>
        <w:tabs>
          <w:tab w:val="left" w:leader="none" w:pos="0"/>
        </w:tabs>
        <w:spacing w:after="0" w:line="240" w:lineRule="auto"/>
        <w:ind/>
        <w:jc w:val="both"/>
        <w:rPr>
          <w:rFonts w:ascii="Times New Roman" w:hAnsi="Times New Roman" w:eastAsia="Calibri" w:cs="Arial"/>
          <w:bCs/>
          <w:sz w:val="24"/>
          <w:szCs w:val="24"/>
        </w:rPr>
      </w:pPr>
      <w:r>
        <w:rPr>
          <w:rFonts w:ascii="Times New Roman" w:hAnsi="Times New Roman" w:eastAsia="Calibri" w:cs="Arial"/>
          <w:bCs/>
          <w:sz w:val="24"/>
          <w:szCs w:val="24"/>
        </w:rPr>
        <w:tab/>
        <w:t xml:space="preserve">В соответствии с </w:t>
      </w:r>
      <w:r>
        <w:rPr>
          <w:rFonts w:ascii="Times New Roman" w:hAnsi="Times New Roman" w:eastAsia="Calibri" w:cs="Arial"/>
          <w:b/>
          <w:bCs/>
          <w:sz w:val="24"/>
          <w:szCs w:val="24"/>
        </w:rPr>
        <w:t xml:space="preserve">Федеральным законом от </w:t>
      </w:r>
      <w:r>
        <w:rPr>
          <w:rFonts w:ascii="Times New Roman" w:hAnsi="Times New Roman" w:eastAsia="Calibri" w:cs="Arial"/>
          <w:b/>
          <w:bCs/>
          <w:sz w:val="24"/>
          <w:szCs w:val="24"/>
        </w:rPr>
        <w:t xml:space="preserve">2</w:t>
      </w:r>
      <w:r>
        <w:rPr>
          <w:rFonts w:ascii="Times New Roman" w:hAnsi="Times New Roman" w:eastAsia="Calibri" w:cs="Arial"/>
          <w:b/>
          <w:bCs/>
          <w:sz w:val="24"/>
          <w:szCs w:val="24"/>
        </w:rPr>
        <w:t xml:space="preserve">0</w:t>
      </w:r>
      <w:r>
        <w:rPr>
          <w:rFonts w:ascii="Times New Roman" w:hAnsi="Times New Roman" w:eastAsia="Calibri" w:cs="Arial"/>
          <w:b/>
          <w:bCs/>
          <w:sz w:val="24"/>
          <w:szCs w:val="24"/>
        </w:rPr>
        <w:t xml:space="preserve"> марта 2025 года</w:t>
      </w:r>
      <w:r>
        <w:rPr>
          <w:rFonts w:ascii="Times New Roman" w:hAnsi="Times New Roman" w:eastAsia="Calibri" w:cs="Arial"/>
          <w:b/>
          <w:bCs/>
          <w:sz w:val="24"/>
          <w:szCs w:val="24"/>
        </w:rPr>
        <w:t xml:space="preserve"> №</w:t>
      </w:r>
      <w:r>
        <w:rPr>
          <w:rFonts w:ascii="Times New Roman" w:hAnsi="Times New Roman" w:eastAsia="Calibri" w:cs="Arial"/>
          <w:b/>
          <w:bCs/>
          <w:sz w:val="24"/>
          <w:szCs w:val="24"/>
        </w:rPr>
        <w:t xml:space="preserve">33</w:t>
      </w:r>
      <w:r>
        <w:rPr>
          <w:rFonts w:ascii="Times New Roman" w:hAnsi="Times New Roman" w:eastAsia="Calibri" w:cs="Arial"/>
          <w:b/>
          <w:bCs/>
          <w:sz w:val="24"/>
          <w:szCs w:val="24"/>
        </w:rPr>
        <w:t xml:space="preserve">-ФЗ «Об общих принципах организации местного самоуправления в </w:t>
      </w:r>
      <w:r>
        <w:rPr>
          <w:rFonts w:ascii="Times New Roman" w:hAnsi="Times New Roman" w:eastAsia="Calibri" w:cs="Arial"/>
          <w:b/>
          <w:bCs/>
          <w:sz w:val="24"/>
          <w:szCs w:val="24"/>
        </w:rPr>
        <w:t xml:space="preserve">единой системе публичной власти</w:t>
      </w:r>
      <w:r>
        <w:rPr>
          <w:rFonts w:ascii="Times New Roman" w:hAnsi="Times New Roman" w:eastAsia="Calibri" w:cs="Arial"/>
          <w:b/>
          <w:bCs/>
          <w:sz w:val="24"/>
          <w:szCs w:val="24"/>
        </w:rPr>
        <w:t xml:space="preserve">»</w:t>
      </w:r>
      <w:r>
        <w:rPr>
          <w:rFonts w:ascii="Times New Roman" w:hAnsi="Times New Roman" w:eastAsia="Calibri" w:cs="Arial"/>
          <w:bCs/>
          <w:sz w:val="24"/>
          <w:szCs w:val="24"/>
        </w:rPr>
        <w:t xml:space="preserve">, Градостроительным кодексом Российской Федерации,</w:t>
      </w:r>
      <w:r>
        <w:rPr>
          <w:rFonts w:ascii="Times New Roman" w:hAnsi="Times New Roman" w:eastAsia="Calibri" w:cs="Arial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Calibri" w:cs="Times New Roman"/>
          <w:color w:val="000000"/>
          <w:sz w:val="24"/>
          <w:szCs w:val="24"/>
        </w:rPr>
        <w:t xml:space="preserve">Федеральным законом от 23 июня 2014 года № 171-ФЗ «О внесении изменений в Земельный кодекс Российской Федерации и отдельные законодательные акты Российской Федерации»</w:t>
      </w:r>
      <w:r>
        <w:rPr>
          <w:rFonts w:ascii="Times New Roman" w:hAnsi="Times New Roman" w:eastAsia="Calibri" w:cs="Times New Roman"/>
          <w:sz w:val="24"/>
          <w:szCs w:val="24"/>
        </w:rPr>
        <w:t xml:space="preserve">, </w:t>
      </w:r>
      <w:r>
        <w:rPr>
          <w:rFonts w:ascii="Times New Roman" w:hAnsi="Times New Roman" w:eastAsia="Calibri" w:cs="Arial"/>
          <w:bCs/>
          <w:sz w:val="24"/>
          <w:szCs w:val="24"/>
        </w:rPr>
        <w:t xml:space="preserve">Уставом городского округа «поселок Палана», Совет депутатов городского округа «поселок Палана» </w:t>
      </w:r>
      <w:r>
        <w:rPr>
          <w:rFonts w:ascii="Times New Roman" w:hAnsi="Times New Roman" w:eastAsia="Calibri" w:cs="Arial"/>
          <w:bCs/>
          <w:sz w:val="24"/>
          <w:szCs w:val="24"/>
        </w:rPr>
      </w:r>
      <w:r>
        <w:rPr>
          <w:rFonts w:ascii="Times New Roman" w:hAnsi="Times New Roman" w:eastAsia="Calibri" w:cs="Arial"/>
          <w:bCs/>
          <w:sz w:val="24"/>
          <w:szCs w:val="24"/>
        </w:rPr>
      </w:r>
    </w:p>
    <w:p>
      <w:pPr>
        <w:pBdr/>
        <w:tabs>
          <w:tab w:val="left" w:leader="none" w:pos="0"/>
        </w:tabs>
        <w:spacing w:after="0" w:line="240" w:lineRule="auto"/>
        <w:ind w:firstLine="708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pBdr/>
        <w:spacing w:after="0" w:line="240" w:lineRule="auto"/>
        <w:ind w:firstLine="709"/>
        <w:jc w:val="both"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РЕШИЛ:</w:t>
      </w:r>
      <w:r>
        <w:rPr>
          <w:rFonts w:ascii="Times New Roman" w:hAnsi="Times New Roman" w:eastAsia="Calibri" w:cs="Times New Roman"/>
          <w:b/>
          <w:sz w:val="24"/>
          <w:szCs w:val="24"/>
        </w:rPr>
      </w:r>
      <w:r>
        <w:rPr>
          <w:rFonts w:ascii="Times New Roman" w:hAnsi="Times New Roman" w:eastAsia="Calibri" w:cs="Times New Roman"/>
          <w:b/>
          <w:sz w:val="24"/>
          <w:szCs w:val="24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eastAsia="Calibri" w:cs="Times New Roman"/>
          <w:sz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ab/>
        <w:t xml:space="preserve">1. Принять нормативный правовой акт «О внесении</w:t>
      </w:r>
      <w:r>
        <w:rPr>
          <w:rFonts w:ascii="Times New Roman" w:hAnsi="Times New Roman" w:eastAsia="Calibri" w:cs="Times New Roman"/>
          <w:sz w:val="24"/>
        </w:rPr>
        <w:t xml:space="preserve"> изменени</w:t>
      </w:r>
      <w:r>
        <w:rPr>
          <w:rFonts w:ascii="Times New Roman" w:hAnsi="Times New Roman" w:eastAsia="Calibri" w:cs="Times New Roman"/>
          <w:sz w:val="24"/>
        </w:rPr>
        <w:t xml:space="preserve">й</w:t>
      </w:r>
      <w:r>
        <w:rPr>
          <w:rFonts w:ascii="Times New Roman" w:hAnsi="Times New Roman" w:eastAsia="Calibri" w:cs="Times New Roman"/>
          <w:sz w:val="24"/>
        </w:rPr>
        <w:t xml:space="preserve"> в нормативный правовой акт от 12.05.202</w:t>
      </w:r>
      <w:r>
        <w:rPr>
          <w:rFonts w:ascii="Times New Roman" w:hAnsi="Times New Roman" w:eastAsia="Calibri" w:cs="Times New Roman"/>
          <w:sz w:val="24"/>
        </w:rPr>
        <w:t xml:space="preserve">2</w:t>
      </w:r>
      <w:r>
        <w:rPr>
          <w:rFonts w:ascii="Times New Roman" w:hAnsi="Times New Roman" w:eastAsia="Calibri" w:cs="Times New Roman"/>
          <w:sz w:val="24"/>
        </w:rPr>
        <w:t xml:space="preserve"> № 28-р/08-22-НПА «Правила землепользования и застройки городского округа «поселок Палана», утвержденного Решением Совета депутатов городского округа «поселок Палана» от 12.05.2022 № 28-р/08-22.</w:t>
      </w:r>
      <w:r>
        <w:rPr>
          <w:rFonts w:ascii="Times New Roman" w:hAnsi="Times New Roman" w:eastAsia="Calibri" w:cs="Times New Roman"/>
          <w:sz w:val="24"/>
        </w:rPr>
      </w:r>
      <w:r>
        <w:rPr>
          <w:rFonts w:ascii="Times New Roman" w:hAnsi="Times New Roman" w:eastAsia="Calibri" w:cs="Times New Roman"/>
          <w:sz w:val="24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ab/>
        <w:t xml:space="preserve"> 2. Направить нормативный правовой акт «О внесении</w:t>
      </w:r>
      <w:r>
        <w:rPr>
          <w:rFonts w:ascii="Times New Roman" w:hAnsi="Times New Roman" w:eastAsia="Calibri" w:cs="Times New Roman"/>
          <w:sz w:val="24"/>
        </w:rPr>
        <w:t xml:space="preserve"> изменение в нормативный правовой акт от 12.05.202</w:t>
      </w:r>
      <w:r>
        <w:rPr>
          <w:rFonts w:ascii="Times New Roman" w:hAnsi="Times New Roman" w:eastAsia="Calibri" w:cs="Times New Roman"/>
          <w:sz w:val="24"/>
        </w:rPr>
        <w:t xml:space="preserve">2</w:t>
      </w:r>
      <w:r>
        <w:rPr>
          <w:rFonts w:ascii="Times New Roman" w:hAnsi="Times New Roman" w:eastAsia="Calibri" w:cs="Times New Roman"/>
          <w:sz w:val="24"/>
        </w:rPr>
        <w:t xml:space="preserve"> № 28-р/08-22-НПА «Правила землепользования и застройки городского округа «поселок Палана» утвержденного Решением Совета депутатов городского округа «поселок Палана» от 12.05.2022 № 28-р/08-22</w:t>
      </w:r>
      <w:r>
        <w:rPr>
          <w:rFonts w:ascii="Times New Roman" w:hAnsi="Times New Roman" w:eastAsia="Calibri" w:cs="Times New Roman"/>
          <w:sz w:val="24"/>
          <w:szCs w:val="24"/>
        </w:rPr>
        <w:t xml:space="preserve"> Главе городского округа «поселок Палана» для подписания и обнародования.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pBdr/>
        <w:spacing/>
        <w:ind w:firstLine="540"/>
        <w:jc w:val="both"/>
        <w:rPr>
          <w:rFonts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ascii="Times New Roman" w:hAnsi="Times New Roman" w:eastAsia="Calibri" w:cs="Times New Roman"/>
          <w:sz w:val="24"/>
          <w:szCs w:val="24"/>
        </w:rPr>
        <w:tab/>
        <w:t xml:space="preserve">3. </w:t>
      </w:r>
      <w:r>
        <w:rPr>
          <w:rFonts w:ascii="Times New Roman" w:hAnsi="Times New Roman" w:eastAsia="Calibri" w:cs="Times New Roman"/>
          <w:sz w:val="24"/>
          <w:szCs w:val="24"/>
          <w:lang w:eastAsia="ar-SA"/>
        </w:rPr>
        <w:t xml:space="preserve">Настоящее решение вступает в силу со дня его официального обнародования в порядке, установленном Уставом городского округа «поселок Палана».</w:t>
      </w:r>
      <w:r>
        <w:rPr>
          <w:rFonts w:ascii="Times New Roman" w:hAnsi="Times New Roman" w:eastAsia="Calibri" w:cs="Times New Roman"/>
          <w:sz w:val="24"/>
          <w:szCs w:val="24"/>
          <w:lang w:eastAsia="ar-SA"/>
        </w:rPr>
      </w:r>
      <w:r>
        <w:rPr>
          <w:rFonts w:ascii="Times New Roman" w:hAnsi="Times New Roman" w:eastAsia="Calibri" w:cs="Times New Roman"/>
          <w:sz w:val="24"/>
          <w:szCs w:val="24"/>
          <w:lang w:eastAsia="ar-SA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Председатель Совета депутатов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городского округа «п</w:t>
      </w:r>
      <w:r>
        <w:rPr>
          <w:rFonts w:ascii="Times New Roman" w:hAnsi="Times New Roman" w:eastAsia="Calibri" w:cs="Times New Roman"/>
          <w:sz w:val="24"/>
          <w:szCs w:val="24"/>
        </w:rPr>
        <w:t xml:space="preserve">оселок Палана»</w:t>
      </w:r>
      <w:r>
        <w:rPr>
          <w:rFonts w:ascii="Times New Roman" w:hAnsi="Times New Roman" w:eastAsia="Calibri" w:cs="Times New Roman"/>
          <w:sz w:val="24"/>
          <w:szCs w:val="24"/>
        </w:rPr>
        <w:tab/>
      </w:r>
      <w:r>
        <w:rPr>
          <w:rFonts w:ascii="Times New Roman" w:hAnsi="Times New Roman" w:eastAsia="Calibri" w:cs="Times New Roman"/>
          <w:sz w:val="24"/>
          <w:szCs w:val="24"/>
        </w:rPr>
        <w:t xml:space="preserve">                                                        М.В. </w:t>
      </w:r>
      <w:r>
        <w:rPr>
          <w:rFonts w:ascii="Times New Roman" w:hAnsi="Times New Roman" w:eastAsia="Calibri" w:cs="Times New Roman"/>
          <w:sz w:val="24"/>
          <w:szCs w:val="24"/>
        </w:rPr>
        <w:t xml:space="preserve">Дордюк</w:t>
      </w:r>
      <w:r>
        <w:rPr>
          <w:rFonts w:ascii="Times New Roman" w:hAnsi="Times New Roman" w:eastAsia="Calibri" w:cs="Times New Roman"/>
          <w:sz w:val="24"/>
          <w:szCs w:val="24"/>
        </w:rPr>
        <w:tab/>
      </w:r>
      <w:r>
        <w:rPr>
          <w:rFonts w:ascii="Times New Roman" w:hAnsi="Times New Roman" w:eastAsia="Calibri" w:cs="Times New Roman"/>
          <w:sz w:val="24"/>
          <w:szCs w:val="24"/>
        </w:rPr>
        <w:tab/>
      </w:r>
      <w:r>
        <w:rPr>
          <w:rFonts w:ascii="Times New Roman" w:hAnsi="Times New Roman" w:eastAsia="Calibri" w:cs="Times New Roman"/>
          <w:sz w:val="24"/>
          <w:szCs w:val="24"/>
        </w:rPr>
        <w:tab/>
      </w:r>
      <w:r>
        <w:rPr>
          <w:rFonts w:ascii="Times New Roman" w:hAnsi="Times New Roman" w:eastAsia="Calibri" w:cs="Times New Roman"/>
          <w:sz w:val="24"/>
          <w:szCs w:val="24"/>
        </w:rPr>
        <w:tab/>
      </w:r>
      <w:r>
        <w:rPr>
          <w:rFonts w:ascii="Times New Roman" w:hAnsi="Times New Roman" w:eastAsia="Calibri" w:cs="Times New Roman"/>
          <w:sz w:val="24"/>
          <w:szCs w:val="24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pBdr/>
        <w:spacing w:after="0" w:line="240" w:lineRule="auto"/>
        <w:ind/>
        <w:jc w:val="right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br w:type="page" w:clear="all"/>
      </w:r>
      <w:r>
        <w:rPr>
          <w:rFonts w:ascii="Times New Roman" w:hAnsi="Times New Roman" w:eastAsia="Calibri" w:cs="Times New Roman"/>
          <w:sz w:val="24"/>
          <w:szCs w:val="24"/>
        </w:rPr>
        <w:t xml:space="preserve">Приложение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pBdr/>
        <w:spacing w:after="0" w:line="240" w:lineRule="auto"/>
        <w:ind w:left="5040"/>
        <w:jc w:val="right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к Решению Совета депутатов городского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pBdr/>
        <w:spacing w:after="0" w:line="240" w:lineRule="auto"/>
        <w:ind w:left="5040"/>
        <w:jc w:val="right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округа «поселок Палана»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pBdr/>
        <w:spacing w:after="0" w:line="240" w:lineRule="auto"/>
        <w:ind w:left="5040"/>
        <w:jc w:val="right"/>
        <w:rPr>
          <w:rFonts w:ascii="Times New Roman" w:hAnsi="Times New Roman" w:eastAsia="Times New Roman" w:cs="Times New Roman"/>
          <w:bCs/>
          <w:sz w:val="24"/>
          <w:szCs w:val="24"/>
          <w:u w:val="single"/>
          <w:lang w:eastAsia="ru-RU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от  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 xml:space="preserve">_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 xml:space="preserve">_.___.202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 xml:space="preserve">6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 xml:space="preserve">г</w:t>
      </w:r>
      <w:r>
        <w:rPr>
          <w:rFonts w:ascii="Times New Roman" w:hAnsi="Times New Roman" w:eastAsia="Calibri" w:cs="Times New Roman"/>
          <w:sz w:val="24"/>
          <w:szCs w:val="24"/>
        </w:rPr>
        <w:t xml:space="preserve">. № </w:t>
      </w:r>
      <w:r>
        <w:rPr>
          <w:rFonts w:ascii="Times New Roman" w:hAnsi="Times New Roman" w:eastAsia="Times New Roman" w:cs="Times New Roman"/>
          <w:bCs/>
          <w:sz w:val="24"/>
          <w:szCs w:val="24"/>
          <w:u w:val="single"/>
          <w:lang w:eastAsia="ru-RU"/>
        </w:rPr>
        <w:t xml:space="preserve">________</w:t>
      </w:r>
      <w:r>
        <w:rPr>
          <w:rFonts w:ascii="Times New Roman" w:hAnsi="Times New Roman" w:eastAsia="Times New Roman" w:cs="Times New Roman"/>
          <w:bCs/>
          <w:sz w:val="24"/>
          <w:szCs w:val="24"/>
          <w:u w:val="single"/>
          <w:lang w:eastAsia="ru-RU"/>
        </w:rPr>
      </w:r>
      <w:r>
        <w:rPr>
          <w:rFonts w:ascii="Times New Roman" w:hAnsi="Times New Roman" w:eastAsia="Times New Roman" w:cs="Times New Roman"/>
          <w:bCs/>
          <w:sz w:val="24"/>
          <w:szCs w:val="24"/>
          <w:u w:val="single"/>
          <w:lang w:eastAsia="ru-RU"/>
        </w:rPr>
      </w:r>
    </w:p>
    <w:p>
      <w:pPr>
        <w:pBdr/>
        <w:spacing w:after="0" w:line="240" w:lineRule="auto"/>
        <w:ind w:left="5040"/>
        <w:jc w:val="right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pBdr/>
        <w:spacing w:after="0" w:line="240" w:lineRule="auto"/>
        <w:ind w:firstLine="720"/>
        <w:jc w:val="right"/>
        <w:rPr>
          <w:rFonts w:ascii="Times New Roman" w:hAnsi="Times New Roman" w:eastAsia="Calibri" w:cs="Times New Roman"/>
          <w:b/>
          <w:sz w:val="20"/>
          <w:szCs w:val="20"/>
        </w:rPr>
      </w:pPr>
      <w:r>
        <w:rPr>
          <w:rFonts w:ascii="Times New Roman" w:hAnsi="Times New Roman" w:eastAsia="Calibri" w:cs="Times New Roman"/>
          <w:b/>
          <w:sz w:val="20"/>
          <w:szCs w:val="20"/>
        </w:rPr>
        <w:t xml:space="preserve">«</w:t>
      </w:r>
      <w:r>
        <w:rPr>
          <w:rFonts w:ascii="Times New Roman" w:hAnsi="Times New Roman" w:eastAsia="Calibri" w:cs="Times New Roman"/>
          <w:b/>
          <w:sz w:val="20"/>
          <w:szCs w:val="20"/>
        </w:rPr>
        <w:t xml:space="preserve">О   принятии </w:t>
      </w:r>
      <w:r>
        <w:rPr>
          <w:rFonts w:ascii="Times New Roman" w:hAnsi="Times New Roman" w:eastAsia="Calibri" w:cs="Times New Roman"/>
          <w:b/>
          <w:sz w:val="20"/>
          <w:szCs w:val="20"/>
        </w:rPr>
        <w:t xml:space="preserve">НПА</w:t>
      </w:r>
      <w:r>
        <w:rPr>
          <w:rFonts w:ascii="Times New Roman" w:hAnsi="Times New Roman" w:eastAsia="Calibri" w:cs="Times New Roman"/>
          <w:b/>
          <w:sz w:val="20"/>
          <w:szCs w:val="20"/>
        </w:rPr>
        <w:t xml:space="preserve"> «О внесении изменений </w:t>
      </w:r>
      <w:r>
        <w:rPr>
          <w:rFonts w:ascii="Times New Roman" w:hAnsi="Times New Roman" w:eastAsia="Calibri" w:cs="Times New Roman"/>
          <w:b/>
          <w:sz w:val="20"/>
          <w:szCs w:val="20"/>
        </w:rPr>
      </w:r>
      <w:r>
        <w:rPr>
          <w:rFonts w:ascii="Times New Roman" w:hAnsi="Times New Roman" w:eastAsia="Calibri" w:cs="Times New Roman"/>
          <w:b/>
          <w:sz w:val="20"/>
          <w:szCs w:val="20"/>
        </w:rPr>
      </w:r>
    </w:p>
    <w:p>
      <w:pPr>
        <w:pBdr/>
        <w:spacing w:after="0" w:line="240" w:lineRule="auto"/>
        <w:ind w:firstLine="720"/>
        <w:jc w:val="right"/>
        <w:rPr>
          <w:rFonts w:ascii="Times New Roman" w:hAnsi="Times New Roman" w:eastAsia="Calibri" w:cs="Times New Roman"/>
          <w:b/>
          <w:sz w:val="20"/>
          <w:szCs w:val="20"/>
        </w:rPr>
      </w:pPr>
      <w:r>
        <w:rPr>
          <w:rFonts w:ascii="Times New Roman" w:hAnsi="Times New Roman" w:eastAsia="Calibri" w:cs="Times New Roman"/>
          <w:b/>
          <w:sz w:val="20"/>
          <w:szCs w:val="20"/>
        </w:rPr>
        <w:t xml:space="preserve">в нормативный правовой акт от 12.05.2022 </w:t>
      </w:r>
      <w:r>
        <w:rPr>
          <w:rFonts w:ascii="Times New Roman" w:hAnsi="Times New Roman" w:eastAsia="Calibri" w:cs="Times New Roman"/>
          <w:b/>
          <w:sz w:val="20"/>
          <w:szCs w:val="20"/>
        </w:rPr>
      </w:r>
      <w:r>
        <w:rPr>
          <w:rFonts w:ascii="Times New Roman" w:hAnsi="Times New Roman" w:eastAsia="Calibri" w:cs="Times New Roman"/>
          <w:b/>
          <w:sz w:val="20"/>
          <w:szCs w:val="20"/>
        </w:rPr>
      </w:r>
    </w:p>
    <w:p>
      <w:pPr>
        <w:pBdr/>
        <w:spacing w:after="0" w:line="240" w:lineRule="auto"/>
        <w:ind w:firstLine="720"/>
        <w:jc w:val="right"/>
        <w:rPr>
          <w:rFonts w:ascii="Times New Roman" w:hAnsi="Times New Roman" w:eastAsia="Calibri" w:cs="Times New Roman"/>
          <w:b/>
          <w:sz w:val="20"/>
          <w:szCs w:val="20"/>
        </w:rPr>
      </w:pPr>
      <w:r>
        <w:rPr>
          <w:rFonts w:ascii="Times New Roman" w:hAnsi="Times New Roman" w:eastAsia="Calibri" w:cs="Times New Roman"/>
          <w:b/>
          <w:sz w:val="20"/>
          <w:szCs w:val="20"/>
        </w:rPr>
        <w:t xml:space="preserve">№28-р/08-22-НПА «Правила землепользования </w:t>
      </w:r>
      <w:r>
        <w:rPr>
          <w:rFonts w:ascii="Times New Roman" w:hAnsi="Times New Roman" w:eastAsia="Calibri" w:cs="Times New Roman"/>
          <w:b/>
          <w:sz w:val="20"/>
          <w:szCs w:val="20"/>
        </w:rPr>
      </w:r>
      <w:r>
        <w:rPr>
          <w:rFonts w:ascii="Times New Roman" w:hAnsi="Times New Roman" w:eastAsia="Calibri" w:cs="Times New Roman"/>
          <w:b/>
          <w:sz w:val="20"/>
          <w:szCs w:val="20"/>
        </w:rPr>
      </w:r>
    </w:p>
    <w:p>
      <w:pPr>
        <w:pBdr/>
        <w:spacing w:after="0" w:line="240" w:lineRule="auto"/>
        <w:ind w:firstLine="720"/>
        <w:jc w:val="right"/>
        <w:rPr>
          <w:rFonts w:ascii="Times New Roman" w:hAnsi="Times New Roman" w:eastAsia="Calibri" w:cs="Times New Roman"/>
          <w:b/>
          <w:sz w:val="20"/>
          <w:szCs w:val="20"/>
        </w:rPr>
      </w:pPr>
      <w:r>
        <w:rPr>
          <w:rFonts w:ascii="Times New Roman" w:hAnsi="Times New Roman" w:eastAsia="Calibri" w:cs="Times New Roman"/>
          <w:b/>
          <w:sz w:val="20"/>
          <w:szCs w:val="20"/>
        </w:rPr>
        <w:t xml:space="preserve">              </w:t>
      </w:r>
      <w:r>
        <w:rPr>
          <w:rFonts w:ascii="Times New Roman" w:hAnsi="Times New Roman" w:eastAsia="Calibri" w:cs="Times New Roman"/>
          <w:b/>
          <w:sz w:val="20"/>
          <w:szCs w:val="20"/>
        </w:rPr>
        <w:t xml:space="preserve">и застройки городского округа «поселок Палана»  </w:t>
      </w:r>
      <w:r>
        <w:rPr>
          <w:rFonts w:ascii="Times New Roman" w:hAnsi="Times New Roman" w:eastAsia="Calibri" w:cs="Times New Roman"/>
          <w:b/>
          <w:sz w:val="20"/>
          <w:szCs w:val="20"/>
        </w:rPr>
      </w:r>
      <w:r>
        <w:rPr>
          <w:rFonts w:ascii="Times New Roman" w:hAnsi="Times New Roman" w:eastAsia="Calibri" w:cs="Times New Roman"/>
          <w:b/>
          <w:sz w:val="20"/>
          <w:szCs w:val="20"/>
        </w:rPr>
      </w:r>
    </w:p>
    <w:p>
      <w:pPr>
        <w:pBdr/>
        <w:spacing w:after="0" w:line="240" w:lineRule="auto"/>
        <w:ind w:firstLine="720"/>
        <w:jc w:val="right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pBdr/>
        <w:spacing w:after="0" w:line="240" w:lineRule="auto"/>
        <w:ind w:firstLine="72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pStyle w:val="959"/>
        <w:pBdr/>
        <w:spacing/>
        <w:ind/>
        <w:contextualSpacing w:val="true"/>
        <w:jc w:val="center"/>
        <w:rPr>
          <w:rFonts w:cs="Times New Roman"/>
          <w:b/>
          <w:color w:val="000000"/>
          <w:sz w:val="24"/>
          <w:szCs w:val="24"/>
        </w:rPr>
      </w:pPr>
      <w:r>
        <w:rPr>
          <w:rFonts w:cs="Times New Roman"/>
          <w:b/>
          <w:color w:val="000000"/>
          <w:sz w:val="24"/>
          <w:szCs w:val="24"/>
        </w:rPr>
        <w:t xml:space="preserve">НОРМАТИВНЫЙ ПРАВОВОЙ АКТ</w:t>
      </w:r>
      <w:r>
        <w:rPr>
          <w:rFonts w:cs="Times New Roman"/>
          <w:b/>
          <w:color w:val="000000"/>
          <w:sz w:val="24"/>
          <w:szCs w:val="24"/>
        </w:rPr>
      </w:r>
      <w:r>
        <w:rPr>
          <w:rFonts w:cs="Times New Roman"/>
          <w:b/>
          <w:color w:val="000000"/>
          <w:sz w:val="24"/>
          <w:szCs w:val="24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«О внесении изменений в нормативн</w:t>
      </w:r>
      <w:r>
        <w:rPr>
          <w:rFonts w:ascii="Times New Roman" w:hAnsi="Times New Roman"/>
          <w:sz w:val="24"/>
          <w:szCs w:val="24"/>
        </w:rPr>
        <w:t xml:space="preserve">ый</w:t>
      </w:r>
      <w:r>
        <w:rPr>
          <w:rFonts w:ascii="Times New Roman" w:hAnsi="Times New Roman"/>
          <w:sz w:val="24"/>
          <w:szCs w:val="24"/>
        </w:rPr>
        <w:t xml:space="preserve"> правовой акт</w:t>
      </w:r>
      <w:r>
        <w:rPr>
          <w:rFonts w:ascii="Times New Roman" w:hAnsi="Times New Roman" w:eastAsia="Calibri" w:cs="Times New Roman"/>
          <w:sz w:val="24"/>
        </w:rPr>
        <w:t xml:space="preserve"> </w:t>
      </w:r>
      <w:r>
        <w:rPr>
          <w:rFonts w:ascii="Times New Roman" w:hAnsi="Times New Roman" w:eastAsia="Calibri" w:cs="Times New Roman"/>
          <w:sz w:val="24"/>
        </w:rPr>
        <w:t xml:space="preserve">от 12.05.202</w:t>
      </w:r>
      <w:r>
        <w:rPr>
          <w:rFonts w:ascii="Times New Roman" w:hAnsi="Times New Roman" w:eastAsia="Calibri" w:cs="Times New Roman"/>
          <w:sz w:val="24"/>
        </w:rPr>
        <w:t xml:space="preserve">2</w:t>
      </w:r>
      <w:r>
        <w:rPr>
          <w:rFonts w:ascii="Times New Roman" w:hAnsi="Times New Roman" w:eastAsia="Calibri" w:cs="Times New Roman"/>
          <w:sz w:val="24"/>
        </w:rPr>
        <w:t xml:space="preserve"> № 28-р/08-22-НПА</w:t>
      </w:r>
      <w:r>
        <w:rPr>
          <w:rFonts w:ascii="Times New Roman" w:hAnsi="Times New Roman"/>
          <w:sz w:val="24"/>
          <w:szCs w:val="24"/>
        </w:rPr>
        <w:t xml:space="preserve"> «Правила землепользования и застройки городского округа «поселок Палана» утвержденные Решением совета депутатов городского округа «поселок Палана»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от 12.05.2022 № 28-р/08-22</w:t>
      </w:r>
      <w:r>
        <w:rPr>
          <w:rFonts w:cs="Times New Roman"/>
          <w:b/>
          <w:color w:val="000000"/>
          <w:sz w:val="24"/>
          <w:szCs w:val="24"/>
        </w:rPr>
        <w:t xml:space="preserve">»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eastAsia="Times New Roman"/>
          <w:i/>
        </w:rPr>
      </w:pPr>
      <w:r>
        <w:rPr>
          <w:rFonts w:ascii="Times New Roman" w:hAnsi="Times New Roman" w:eastAsia="Times New Roman"/>
          <w:i/>
        </w:rPr>
        <w:t xml:space="preserve">(Принят решением Совета депутатов городского округа «поселок Палана»</w:t>
      </w:r>
      <w:r>
        <w:rPr>
          <w:rFonts w:ascii="Times New Roman" w:hAnsi="Times New Roman" w:eastAsia="Times New Roman"/>
          <w:i/>
        </w:rPr>
      </w:r>
      <w:r>
        <w:rPr>
          <w:rFonts w:ascii="Times New Roman" w:hAnsi="Times New Roman" w:eastAsia="Times New Roman"/>
          <w:i/>
        </w:rPr>
      </w:r>
    </w:p>
    <w:p>
      <w:pPr>
        <w:pStyle w:val="960"/>
        <w:pBdr/>
        <w:spacing/>
        <w:ind/>
        <w:jc w:val="center"/>
        <w:rPr>
          <w:rFonts w:ascii="Times New Roman" w:hAnsi="Times New Roman" w:eastAsia="Times New Roman"/>
          <w:i/>
        </w:rPr>
      </w:pPr>
      <w:r>
        <w:rPr>
          <w:rFonts w:ascii="Times New Roman" w:hAnsi="Times New Roman" w:eastAsia="Times New Roman"/>
          <w:i/>
        </w:rPr>
        <w:t xml:space="preserve"> от «</w:t>
      </w:r>
      <w:r>
        <w:rPr>
          <w:rFonts w:ascii="Times New Roman" w:hAnsi="Times New Roman" w:eastAsia="Times New Roman"/>
          <w:i/>
        </w:rPr>
        <w:t xml:space="preserve">___</w:t>
      </w:r>
      <w:r>
        <w:rPr>
          <w:rFonts w:ascii="Times New Roman" w:hAnsi="Times New Roman" w:eastAsia="Times New Roman"/>
          <w:i/>
        </w:rPr>
        <w:t xml:space="preserve">» </w:t>
      </w:r>
      <w:r>
        <w:rPr>
          <w:rFonts w:ascii="Times New Roman" w:hAnsi="Times New Roman" w:eastAsia="Times New Roman"/>
          <w:i/>
        </w:rPr>
        <w:t xml:space="preserve">_______</w:t>
      </w:r>
      <w:r>
        <w:rPr>
          <w:rFonts w:ascii="Times New Roman" w:hAnsi="Times New Roman" w:eastAsia="Times New Roman"/>
          <w:i/>
        </w:rPr>
        <w:t xml:space="preserve"> 202</w:t>
      </w:r>
      <w:r>
        <w:rPr>
          <w:rFonts w:ascii="Times New Roman" w:hAnsi="Times New Roman" w:eastAsia="Times New Roman"/>
          <w:i/>
        </w:rPr>
        <w:t xml:space="preserve">6</w:t>
      </w:r>
      <w:r>
        <w:rPr>
          <w:rFonts w:ascii="Times New Roman" w:hAnsi="Times New Roman" w:eastAsia="Times New Roman"/>
          <w:i/>
        </w:rPr>
        <w:t xml:space="preserve"> года № </w:t>
      </w:r>
      <w:r>
        <w:rPr>
          <w:rFonts w:ascii="Times New Roman" w:hAnsi="Times New Roman"/>
          <w:b/>
        </w:rPr>
        <w:t xml:space="preserve">№ </w:t>
      </w:r>
      <w:r>
        <w:rPr>
          <w:rFonts w:ascii="Times New Roman" w:hAnsi="Times New Roman"/>
          <w:b/>
        </w:rPr>
        <w:t xml:space="preserve">_________</w:t>
      </w:r>
      <w:r>
        <w:rPr>
          <w:rFonts w:ascii="Times New Roman" w:hAnsi="Times New Roman" w:eastAsia="Times New Roman"/>
          <w:i/>
        </w:rPr>
        <w:t xml:space="preserve">)</w:t>
      </w:r>
      <w:r>
        <w:rPr>
          <w:rFonts w:ascii="Times New Roman" w:hAnsi="Times New Roman" w:eastAsia="Times New Roman"/>
          <w:i/>
        </w:rPr>
      </w:r>
      <w:r>
        <w:rPr>
          <w:rFonts w:ascii="Times New Roman" w:hAnsi="Times New Roman" w:eastAsia="Times New Roman"/>
          <w:i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                              (</w:t>
      </w:r>
      <w:r>
        <w:rPr>
          <w:rFonts w:ascii="Times New Roman" w:hAnsi="Times New Roman" w:eastAsia="Calibri" w:cs="Times New Roman"/>
          <w:sz w:val="24"/>
          <w:szCs w:val="24"/>
        </w:rPr>
        <w:t xml:space="preserve">9</w:t>
      </w:r>
      <w:r>
        <w:rPr>
          <w:rFonts w:ascii="Times New Roman" w:hAnsi="Times New Roman" w:eastAsia="Calibri" w:cs="Times New Roman"/>
          <w:sz w:val="24"/>
          <w:szCs w:val="24"/>
        </w:rPr>
        <w:t xml:space="preserve">-</w:t>
      </w:r>
      <w:r>
        <w:rPr>
          <w:rFonts w:ascii="Times New Roman" w:hAnsi="Times New Roman" w:eastAsia="Calibri" w:cs="Times New Roman"/>
          <w:sz w:val="24"/>
          <w:szCs w:val="24"/>
        </w:rPr>
        <w:t xml:space="preserve">й  созыв</w:t>
      </w:r>
      <w:r>
        <w:rPr>
          <w:rFonts w:ascii="Times New Roman" w:hAnsi="Times New Roman" w:eastAsia="Calibri" w:cs="Times New Roman"/>
          <w:sz w:val="24"/>
          <w:szCs w:val="24"/>
        </w:rPr>
        <w:t xml:space="preserve">)</w:t>
      </w:r>
      <w:r>
        <w:rPr>
          <w:rFonts w:ascii="Times New Roman" w:hAnsi="Times New Roman" w:eastAsia="Calibri" w:cs="Times New Roman"/>
          <w:sz w:val="24"/>
          <w:szCs w:val="24"/>
        </w:rPr>
        <w:t xml:space="preserve">       </w:t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pBdr/>
        <w:spacing w:after="0" w:line="240" w:lineRule="auto"/>
        <w:ind w:firstLine="720"/>
        <w:jc w:val="center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pBdr/>
        <w:spacing w:after="0" w:line="240" w:lineRule="auto"/>
        <w:ind w:firstLine="720"/>
        <w:jc w:val="center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pBdr/>
        <w:spacing w:after="0" w:line="240" w:lineRule="exact"/>
        <w:ind w:right="-1" w:firstLine="720"/>
        <w:contextualSpacing w:val="tru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1. Внести изменения в раздел 2 «Карты градостроительного зонирования» Правил землепользования и застройки городского округа «поселок Палана» изменив границу территориальной зоны городского округа «поселок Палана» на следующей территории: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left" w:leader="none" w:pos="168"/>
          <w:tab w:val="left" w:leader="underscore" w:pos="5717"/>
        </w:tabs>
        <w:spacing w:after="0" w:line="240" w:lineRule="auto"/>
        <w:ind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ab/>
        <w:t xml:space="preserve">        - 1.1. Земельный участок с кадастровым номером 82:01:000002:831 площадью 5576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кв.м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., местоположением: край Камчатский, р-н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Тигильский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пгт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Палана, перевести в территориальную зону–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зону общественно-делового назначения (ОДЗ 1).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</w:r>
      <w:r>
        <w:rPr>
          <w:rFonts w:ascii="Times New Roman" w:hAnsi="Times New Roman" w:cs="Times New Roman"/>
          <w:color w:val="ff0000"/>
          <w:sz w:val="24"/>
          <w:szCs w:val="24"/>
        </w:rPr>
      </w:r>
    </w:p>
    <w:p>
      <w:pPr>
        <w:pBdr/>
        <w:tabs>
          <w:tab w:val="left" w:leader="none" w:pos="168"/>
          <w:tab w:val="left" w:leader="underscore" w:pos="5717"/>
        </w:tabs>
        <w:spacing w:after="0" w:line="240" w:lineRule="auto"/>
        <w:ind/>
        <w:jc w:val="both"/>
        <w:rPr>
          <w:rFonts w:ascii="Times New Roman" w:hAnsi="Times New Roman" w:cs="Times New Roman"/>
          <w:color w:val="ff000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       - 1.2. Земельный участок площадью 500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кв.м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., местоположением: край Камчатский, городской округ «поселок Палана»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пгт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Палана, перевести в территориальную зону –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зону  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объектов производственного назначения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(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П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Р 1)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(приложение 1)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ff0000"/>
          <w:sz w:val="24"/>
          <w:szCs w:val="24"/>
          <w:highlight w:val="none"/>
        </w:rPr>
      </w:r>
    </w:p>
    <w:p w14:paraId="7F63E72B">
      <w:pPr>
        <w:pBdr/>
        <w:tabs>
          <w:tab w:val="left" w:leader="none" w:pos="168"/>
          <w:tab w:val="left" w:leader="underscore" w:pos="5717"/>
        </w:tabs>
        <w:spacing w:after="0" w:line="240" w:lineRule="auto"/>
        <w:ind/>
        <w:jc w:val="both"/>
        <w:rPr>
          <w:rFonts w:ascii="Times New Roman" w:hAnsi="Times New Roman" w:cs="Times New Roman"/>
          <w:color w:val="ff000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ab/>
        <w:t xml:space="preserve">       - 1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.3.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Перевести земельный участок площадью 164 кв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.м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в территориальную зону –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зона садоводческих и огороднических некоммерческих товариществ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(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СХЗ 3)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(приложение 2)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ff0000"/>
          <w:sz w:val="24"/>
          <w:szCs w:val="24"/>
          <w:highlight w:val="none"/>
        </w:rPr>
      </w:r>
    </w:p>
    <w:p w14:paraId="6FFBB80B">
      <w:pPr>
        <w:pBdr/>
        <w:spacing w:after="0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         - 1.4.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Перевести земельный участок площадью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851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кв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.м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в территориальную зону –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зона садоводческих и огороднических некоммерческих товариществ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(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СХЗ 3)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(приложение 3).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 w14:paraId="18DC2300">
      <w:pPr>
        <w:pBdr/>
        <w:tabs>
          <w:tab w:val="left" w:leader="none" w:pos="168"/>
          <w:tab w:val="left" w:leader="underscore" w:pos="5717"/>
        </w:tabs>
        <w:spacing w:after="0" w:line="240" w:lineRule="auto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tabs>
          <w:tab w:val="left" w:leader="none" w:pos="168"/>
          <w:tab w:val="left" w:leader="underscore" w:pos="5717"/>
        </w:tabs>
        <w:spacing w:after="0" w:line="240" w:lineRule="auto"/>
        <w:ind/>
        <w:jc w:val="center"/>
        <w:rPr>
          <w:rFonts w:ascii="Times New Roman" w:hAnsi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2.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Внести изменения в раздел 3 «Градостроительные регламенты» правил землепользования и застройки городского округа «поселок Палана»</w:t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</w:p>
    <w:p w14:paraId="53C9F2FD">
      <w:pPr>
        <w:pBdr/>
        <w:tabs>
          <w:tab w:val="left" w:leader="none" w:pos="168"/>
          <w:tab w:val="left" w:leader="underscore" w:pos="5717"/>
        </w:tabs>
        <w:spacing w:after="0" w:line="240" w:lineRule="auto"/>
        <w:ind/>
        <w:jc w:val="center"/>
        <w:rPr>
          <w:rFonts w:ascii="Times New Roman" w:hAnsi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highlight w:val="none"/>
          <w:lang w:eastAsia="ru-RU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</w:p>
    <w:p w14:paraId="2ADE8156">
      <w:pPr>
        <w:pBdr/>
        <w:tabs>
          <w:tab w:val="left" w:leader="none" w:pos="168"/>
          <w:tab w:val="left" w:leader="underscore" w:pos="5717"/>
        </w:tabs>
        <w:spacing w:after="0" w:line="240" w:lineRule="auto"/>
        <w:ind/>
        <w:jc w:val="center"/>
        <w:rPr>
          <w:rFonts w:ascii="Times New Roman" w:hAnsi="Times New Roman" w:cs="Times New Roman"/>
          <w:b/>
          <w:bCs w:val="0"/>
          <w:i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  <w:highlight w:val="none"/>
          <w:lang w:eastAsia="ru-RU"/>
        </w:rPr>
        <w:t xml:space="preserve">2.</w:t>
      </w:r>
      <w:r>
        <w:rPr>
          <w:rFonts w:ascii="Times New Roman" w:hAnsi="Times New Roman" w:eastAsia="Times New Roman" w:cs="Times New Roman"/>
          <w:b/>
          <w:i w:val="0"/>
          <w:iCs w:val="0"/>
          <w:color w:val="000000" w:themeColor="text1"/>
          <w:sz w:val="24"/>
          <w:szCs w:val="24"/>
        </w:rPr>
        <w:t xml:space="preserve">1.</w:t>
      </w:r>
      <w:r>
        <w:rPr>
          <w:rFonts w:ascii="Times New Roman" w:hAnsi="Times New Roman" w:eastAsia="Times New Roman" w:cs="Times New Roman"/>
          <w:b/>
          <w:i w:val="0"/>
          <w:iCs w:val="0"/>
          <w:color w:val="000000" w:themeColor="text1"/>
          <w:sz w:val="24"/>
          <w:szCs w:val="24"/>
        </w:rPr>
        <w:t xml:space="preserve"> З</w:t>
      </w:r>
      <w:r>
        <w:rPr>
          <w:rStyle w:val="962"/>
          <w:rFonts w:ascii="Times New Roman" w:hAnsi="Times New Roman" w:eastAsia="Times New Roman" w:cs="Times New Roman"/>
          <w:b/>
          <w:i w:val="0"/>
          <w:iCs w:val="0"/>
          <w:color w:val="000000" w:themeColor="text1"/>
          <w:sz w:val="24"/>
          <w:szCs w:val="24"/>
        </w:rPr>
        <w:t xml:space="preserve">она застройки индивидуальными жилыми домами </w:t>
      </w:r>
      <w:r>
        <w:rPr>
          <w:rFonts w:ascii="Times New Roman" w:hAnsi="Times New Roman" w:eastAsia="Times New Roman" w:cs="Times New Roman"/>
          <w:b/>
          <w:i w:val="0"/>
          <w:iCs w:val="0"/>
          <w:color w:val="000000" w:themeColor="text1"/>
          <w:sz w:val="24"/>
          <w:szCs w:val="24"/>
        </w:rPr>
        <w:t xml:space="preserve">(код зоны – Ж</w:t>
      </w:r>
      <w:r>
        <w:rPr>
          <w:rFonts w:ascii="Times New Roman" w:hAnsi="Times New Roman" w:eastAsia="Times New Roman" w:cs="Times New Roman"/>
          <w:b/>
          <w:i w:val="0"/>
          <w:iCs w:val="0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i w:val="0"/>
          <w:iCs w:val="0"/>
          <w:color w:val="000000" w:themeColor="text1"/>
          <w:sz w:val="24"/>
          <w:szCs w:val="24"/>
        </w:rPr>
        <w:t xml:space="preserve">1)</w:t>
      </w:r>
      <w:r>
        <w:rPr>
          <w:rFonts w:ascii="Times New Roman" w:hAnsi="Times New Roman" w:cs="Times New Roman"/>
          <w:b/>
          <w:bCs w:val="0"/>
          <w:i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 w:val="0"/>
          <w:i w:val="0"/>
          <w:sz w:val="24"/>
          <w:szCs w:val="24"/>
          <w:highlight w:val="none"/>
        </w:rPr>
      </w:r>
    </w:p>
    <w:tbl>
      <w:tblPr>
        <w:tblW w:w="9464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ook w:val="01E0" w:firstRow="1" w:lastRow="1" w:firstColumn="1" w:lastColumn="1" w:noHBand="0" w:noVBand="0"/>
      </w:tblPr>
      <w:tblGrid>
        <w:gridCol w:w="636"/>
        <w:gridCol w:w="2788"/>
        <w:gridCol w:w="6040"/>
      </w:tblGrid>
      <w:tr>
        <w:trPr>
          <w:trHeight w:val="552"/>
        </w:trPr>
        <w:tc>
          <w:tcPr>
            <w:tcBorders/>
            <w:tcW w:w="565" w:type="dxa"/>
            <w:vAlign w:val="center"/>
          </w:tcPr>
          <w:p w14:paraId="54E7E5D2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*Код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/>
            <w:tcW w:w="2802" w:type="dxa"/>
            <w:vAlign w:val="center"/>
          </w:tcPr>
          <w:p w14:paraId="71138DA3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 w14:paraId="4C36F592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ВИДА РАЗРЕШЕННОГО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 w14:paraId="76181E96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ИСПОЛЬЗОВАНИЯ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 w14:paraId="0063E274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ЗЕМЕЛЬНОГО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 w14:paraId="77C1A003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УЧАСТКА (ПО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 w14:paraId="194F18DD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КЛАССИФИКАТОРУ)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/>
            <w:tcW w:w="6097" w:type="dxa"/>
            <w:vAlign w:val="center"/>
          </w:tcPr>
          <w:p w14:paraId="3A7D234B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Предельные (минимальные и (или) максимальные)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 w14:paraId="012B957B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размеры земельных участков и предельные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 w14:paraId="53EEABD1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параметры разрешенного строительства,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 w14:paraId="691DD07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реконструкции объектов капитального строительства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565" w:type="dxa"/>
            <w:vAlign w:val="center"/>
          </w:tcPr>
          <w:p w14:paraId="6A19325D"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2802" w:type="dxa"/>
            <w:vAlign w:val="center"/>
          </w:tcPr>
          <w:p w14:paraId="681B98B9">
            <w:pPr>
              <w:pBdr/>
              <w:spacing/>
              <w:ind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Блокированная жилая застройка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tcBorders/>
            <w:tcW w:w="6097" w:type="dxa"/>
            <w:vAlign w:val="center"/>
          </w:tcPr>
          <w:p w14:paraId="75309891"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Предельные (минимальные и (или) максимальные) размеры земельных участков и предельные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параметры разрешенного строительства, реконструкции объектов капитального строительства: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Максимальный и минимальный размер земельного участка: Минимальный размер земельного участ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ка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300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кв.м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.,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Максимальный размер земельного участка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3000 кв.м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 2. Минимальный отступ от фронтальной границы земельного участка (красная линия) и линией застройки – 3 м. 3. Предельное количество этажей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 4. Максимальный процент застройки в границах земельного участка не подлежит установлению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tbl>
      <w:tblPr>
        <w:tblW w:w="9464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835"/>
        <w:gridCol w:w="5921"/>
      </w:tblGrid>
      <w:tr>
        <w:trPr/>
        <w:tc>
          <w:tcPr>
            <w:tcBorders/>
            <w:tcW w:w="708" w:type="dxa"/>
            <w:vAlign w:val="center"/>
          </w:tcPr>
          <w:p w14:paraId="655D20AB"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3.8.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2835" w:type="dxa"/>
            <w:vAlign w:val="center"/>
          </w:tcPr>
          <w:p w14:paraId="1497FBED">
            <w:pPr>
              <w:pBdr/>
              <w:spacing w:after="0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Общественное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</w:r>
          </w:p>
          <w:p w14:paraId="2D755820">
            <w:pPr>
              <w:pBdr/>
              <w:spacing w:after="0"/>
              <w:ind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управление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Borders/>
            <w:tcW w:w="5921" w:type="dxa"/>
            <w:vAlign w:val="center"/>
          </w:tcPr>
          <w:p w14:paraId="67E3A651"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Предельные (минимальные и (или) максимальные) размеры земельных участков и предельные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параметры разрешенного строительства, реконструкции объектов капитального строительства: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Максимальный и минимальный размер земельного участка: Минимальный размер земельного участ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ка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300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кв.м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.,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Максимальный размер земельного участка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6000 кв.м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 2. Минимальный отступ от фронтальной границы земельного участка (красная линия) и линией застройки – 3 м. 3. Предельное количество этажей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 4. Максимальный процент застройки в границах земельного участка не подлежит установлению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 w14:paraId="4984B9C2">
      <w:pPr>
        <w:pBdr/>
        <w:tabs>
          <w:tab w:val="left" w:leader="none" w:pos="168"/>
          <w:tab w:val="left" w:leader="underscore" w:pos="5717"/>
        </w:tabs>
        <w:spacing w:after="0" w:line="240" w:lineRule="auto"/>
        <w:ind/>
        <w:jc w:val="center"/>
        <w:rPr>
          <w:rFonts w:ascii="Times New Roman" w:hAnsi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highlight w:val="none"/>
          <w:lang w:eastAsia="ru-RU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</w:p>
    <w:p w14:paraId="12CC4232">
      <w:pPr>
        <w:pBdr/>
        <w:tabs>
          <w:tab w:val="left" w:leader="none" w:pos="168"/>
          <w:tab w:val="left" w:leader="underscore" w:pos="5717"/>
        </w:tabs>
        <w:spacing w:after="0" w:line="240" w:lineRule="auto"/>
        <w:ind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highlight w:val="none"/>
          <w:lang w:eastAsia="ru-RU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pBdr/>
        <w:spacing/>
        <w:ind w:left="720"/>
        <w:contextualSpacing w:val="true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2.2 зона садоводческих и огороднических некоммерческих товариществ</w:t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 w14:paraId="204061A5">
      <w:pPr>
        <w:pBdr/>
        <w:spacing/>
        <w:ind w:left="720"/>
        <w:contextualSpacing w:val="true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 (СХЗ 3)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</w:t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tbl>
      <w:tblPr>
        <w:tblW w:w="9464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ook w:val="01E0" w:firstRow="1" w:lastRow="1" w:firstColumn="1" w:lastColumn="1" w:noHBand="0" w:noVBand="0"/>
      </w:tblPr>
      <w:tblGrid>
        <w:gridCol w:w="636"/>
        <w:gridCol w:w="2788"/>
        <w:gridCol w:w="6040"/>
      </w:tblGrid>
      <w:tr>
        <w:trPr>
          <w:trHeight w:val="552"/>
        </w:trPr>
        <w:tc>
          <w:tcPr>
            <w:tcBorders/>
            <w:tcW w:w="5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*Код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/>
            <w:tcW w:w="2802" w:type="dxa"/>
            <w:vAlign w:val="center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ВИДА РАЗРЕШЕННОГО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ИСПОЛЬЗОВАНИЯ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ЗЕМЕЛЬНОГО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УЧАСТКА (ПО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КЛАССИФИКАТОРУ)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/>
            <w:tcW w:w="6097" w:type="dxa"/>
            <w:vAlign w:val="center"/>
          </w:tcPr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Предельные (минимальные и (или) максимальные)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размеры земельных участков и предельные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параметры разрешенного строительства,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реконструкции объектов капитального строительства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5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2.7.1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2802" w:type="dxa"/>
            <w:vAlign w:val="center"/>
          </w:tcPr>
          <w:p w14:paraId="1A084553"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Хранение автотранспорта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6097" w:type="dxa"/>
            <w:vAlign w:val="center"/>
          </w:tcPr>
          <w:p w14:paraId="448237DB"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Предельные (минимальные и (или) максимальные) размеры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 w14:paraId="218D7806"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земельных участков и предельные параметры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 w14:paraId="47C83645"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разрешенного строительства, реконструкции объектов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 w14:paraId="259A2387"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капитального строительства не подлежат установлению.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 w14:paraId="183A17D7">
      <w:pPr>
        <w:pBdr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</w:p>
    <w:p>
      <w:pPr>
        <w:pBdr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2.3.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зона инженерной инфраструктуры (И)</w:t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</w:p>
    <w:tbl>
      <w:tblPr>
        <w:tblW w:w="9464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ook w:val="01E0" w:firstRow="1" w:lastRow="1" w:firstColumn="1" w:lastColumn="1" w:noHBand="0" w:noVBand="0"/>
      </w:tblPr>
      <w:tblGrid>
        <w:gridCol w:w="636"/>
        <w:gridCol w:w="2788"/>
        <w:gridCol w:w="6040"/>
      </w:tblGrid>
      <w:tr>
        <w:trPr>
          <w:trHeight w:val="552"/>
        </w:trPr>
        <w:tc>
          <w:tcPr>
            <w:tcBorders/>
            <w:tcW w:w="565" w:type="dxa"/>
            <w:vAlign w:val="center"/>
          </w:tcPr>
          <w:p w14:paraId="7B36882F">
            <w:pPr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*Код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/>
            <w:tcW w:w="2802" w:type="dxa"/>
            <w:vAlign w:val="center"/>
          </w:tcPr>
          <w:p w14:paraId="69FF63B8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 w14:paraId="37C62721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ВИДА РАЗРЕШЕННОГО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 w14:paraId="5929EB0E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ИСПОЛЬЗОВАНИЯ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 w14:paraId="7021663D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ЗЕМЕЛЬНОГО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 w14:paraId="1A854267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УЧАСТКА (ПО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 w14:paraId="51A47C76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КЛАССИФИКАТОРУ)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/>
            <w:tcW w:w="6097" w:type="dxa"/>
            <w:vAlign w:val="center"/>
          </w:tcPr>
          <w:p w14:paraId="1209F9C1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Предельные (минимальные и (или) максимальные)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 w14:paraId="1C94DF5B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размеры земельных участков и предельные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 w14:paraId="03A54C1A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параметры разрешенного строительства,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 w14:paraId="1E69D702">
            <w:pPr>
              <w:pBdr/>
              <w:spacing w:after="0" w:line="240" w:lineRule="auto"/>
              <w: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реконструкции объектов капитального строительства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565" w:type="dxa"/>
            <w:vAlign w:val="center"/>
          </w:tcPr>
          <w:p w14:paraId="27192769"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4.9.1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2802" w:type="dxa"/>
            <w:vAlign w:val="center"/>
          </w:tcPr>
          <w:p w14:paraId="1D9EC4C4"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Объекты дорожного сервиса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6097" w:type="dxa"/>
            <w:vAlign w:val="center"/>
          </w:tcPr>
          <w:p w14:paraId="3A1992CA">
            <w:pPr>
              <w:pBdr/>
              <w:spacing w:after="0"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Предельные (минимальные и (или) максимальные) размеры земельных участков и предельные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параметры разрешенного строительства, реконструкции объектов капитального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Максимальный и минимальный размер земельного участка: Минимальный размер земельного участка – 150 кв.м., Максимальный размер земельного участка не подлежит установлен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ю. 2. Минимальный отступ от фронтальной границы земельного участка (красная линия) и линией застройки – 3 м. 3. Предельное количество этажей не подлежит установлению. 4. Максимальный процент застройки в границах земельного участка не подлежит установлению.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 w14:paraId="79659267">
      <w:pPr>
        <w:pBdr/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widowControl w:val="false"/>
        <w:pBdr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 Настоящие изменения в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«Правила землепользования и застройки городского округа «поселок Палана» вступают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в силу со дня их официального обнародования в установленных местах.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 w14:paraId="5205D9A5">
      <w:pPr>
        <w:pBdr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 w14:paraId="5318EEEE">
      <w:pPr>
        <w:pBdr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 w14:paraId="3E1271B1">
      <w:pPr>
        <w:pBdr/>
        <w:shd w:val="nil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br w:type="page" w:clear="all"/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 w14:paraId="18E036EC">
      <w:pPr>
        <w:pBdr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t xml:space="preserve">Приложение 1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 w14:paraId="4647C855">
      <w:pPr>
        <w:pBdr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8782050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89326102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6"/>
                        <a:stretch/>
                      </pic:blipFill>
                      <pic:spPr bwMode="auto">
                        <a:xfrm rot="0">
                          <a:off x="0" y="0"/>
                          <a:ext cx="5943600" cy="87820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468.00pt;height:691.50pt;mso-wrap-distance-left:0.00pt;mso-wrap-distance-top:0.00pt;mso-wrap-distance-right:0.00pt;mso-wrap-distance-bottom:0.00pt;rotation:0;z-index:1;" stroked="false">
                <v:imagedata r:id="rId16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 w14:paraId="54302D66">
      <w:pPr>
        <w:pBdr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 w14:paraId="3CBEBFB1">
      <w:pPr>
        <w:pBdr/>
        <w:shd w:val="nil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br w:type="page" w:clear="all"/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 w14:paraId="7CFCA05D">
      <w:pPr>
        <w:pBdr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2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 w14:paraId="56A55AE9">
      <w:pPr>
        <w:pBdr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8406082"/>
                <wp:effectExtent l="0" t="0" r="0" b="0"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12422921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5940424" cy="84060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467.75pt;height:661.90pt;mso-wrap-distance-left:0.00pt;mso-wrap-distance-top:0.00pt;mso-wrap-distance-right:0.00pt;mso-wrap-distance-bottom:0.00pt;z-index:1;" stroked="false">
                <v:imagedata r:id="rId17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</w:r>
    </w:p>
    <w:p w14:paraId="3ACFB693">
      <w:pPr>
        <w:pBdr/>
        <w:spacing w:after="0" w:line="240" w:lineRule="exact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 w14:paraId="3E452C93">
      <w:pPr>
        <w:pBdr/>
        <w:shd w:val="nil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br w:type="page" w:clear="all"/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 w14:paraId="4622F4F6">
      <w:pPr>
        <w:pBdr/>
        <w:spacing w:after="0" w:line="240" w:lineRule="exact"/>
        <w:ind w:left="360"/>
        <w:jc w:val="right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</w:rPr>
      </w:r>
      <w:r/>
      <w:r>
        <w:rPr>
          <w:rFonts w:ascii="Times New Roman" w:hAnsi="Times New Roman" w:cs="Times New Roman"/>
          <w:sz w:val="24"/>
          <w:szCs w:val="24"/>
        </w:rPr>
        <w:t xml:space="preserve">Приложение 3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 w14:paraId="7869912B">
      <w:pPr>
        <w:pBdr/>
        <w:spacing w:after="0" w:line="240" w:lineRule="exact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 w14:paraId="79AD9763">
      <w:pPr>
        <w:pBdr/>
        <w:spacing w:after="0" w:line="240" w:lineRule="exact"/>
        <w:ind w:left="360"/>
        <w:jc w:val="left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 w14:paraId="0FF50DD5">
      <w:pPr>
        <w:pBdr/>
        <w:spacing w:after="0" w:line="240" w:lineRule="exact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19456" behindDoc="0" locked="0" layoutInCell="1" allowOverlap="1">
                <wp:simplePos x="0" y="0"/>
                <wp:positionH relativeFrom="column">
                  <wp:posOffset>238125</wp:posOffset>
                </wp:positionH>
                <wp:positionV relativeFrom="paragraph">
                  <wp:posOffset>56048</wp:posOffset>
                </wp:positionV>
                <wp:extent cx="5940425" cy="8101445"/>
                <wp:effectExtent l="0" t="0" r="0" b="0"/>
                <wp:wrapSquare wrapText="bothSides"/>
                <wp:docPr id="3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3599123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5940424" cy="81014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" o:spid="_x0000_s2" type="#_x0000_t75" style="position:absolute;z-index:19456;o:allowoverlap:true;o:allowincell:true;mso-position-horizontal-relative:text;margin-left:18.75pt;mso-position-horizontal:absolute;mso-position-vertical-relative:text;margin-top:4.41pt;mso-position-vertical:absolute;width:467.75pt;height:637.91pt;mso-wrap-distance-left:9.07pt;mso-wrap-distance-top:0.00pt;mso-wrap-distance-right:9.07pt;mso-wrap-distance-bottom:0.00pt;z-index:1;" stroked="false">
                <w10:wrap type="square"/>
                <v:imagedata r:id="rId18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h="16838" w:orient="portrait" w:w="11906"/>
      <w:pgMar w:top="426" w:right="850" w:bottom="1134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Tahoma">
    <w:panose1 w:val="020B060403050404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5"/>
      <w:pBdr/>
      <w:spacing/>
      <w:ind/>
      <w:rPr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5"/>
      <w:pBdr/>
      <w:spacing/>
      <w:ind/>
      <w:rPr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5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3"/>
      <w:pBdr/>
      <w:spacing/>
      <w:ind/>
      <w:rPr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3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3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00353A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2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nsid w:val="6D4D67C9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 w:cs="Times New Roman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>
        <w:rFonts w:cs="Times New Roman"/>
      </w:rPr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>
        <w:rFonts w:cs="Times New Roman"/>
      </w:rPr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>
        <w:rFonts w:cs="Times New Roman"/>
      </w:rPr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>
        <w:rFonts w:cs="Times New Roman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>
        <w:rFonts w:cs="Times New Roman"/>
      </w:rPr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>
        <w:rFonts w:cs="Times New Roman"/>
      </w:rPr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>
        <w:rFonts w:cs="Times New Roman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>
        <w:rFonts w:cs="Times New Roman"/>
      </w:rPr>
      <w:start w:val="1"/>
      <w:suff w:val="tab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65">
    <w:name w:val="Table Grid"/>
    <w:basedOn w:val="94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Table Grid Light"/>
    <w:basedOn w:val="94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Plain Table 1"/>
    <w:basedOn w:val="94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Plain Table 2"/>
    <w:basedOn w:val="94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Plain Table 3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Plain Table 4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Plain Table 5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1 Light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1 Light - Accent 1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1 Light - Accent 2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1 Light - Accent 3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1 Light - Accent 4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1 Light - Accent 5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1 Light - Accent 6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2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2 - Accent 1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2 - Accent 2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2 - Accent 3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2 - Accent 4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2 - Accent 5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2 - Accent 6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3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3 - Accent 1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3 - Accent 2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Grid Table 3 - Accent 3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Grid Table 3 - Accent 4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Grid Table 3 - Accent 5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Grid Table 3 - Accent 6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4"/>
    <w:basedOn w:val="94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Grid Table 4 - Accent 1"/>
    <w:basedOn w:val="94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Grid Table 4 - Accent 2"/>
    <w:basedOn w:val="94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Grid Table 4 - Accent 3"/>
    <w:basedOn w:val="94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Grid Table 4 - Accent 4"/>
    <w:basedOn w:val="94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Grid Table 4 - Accent 5"/>
    <w:basedOn w:val="94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Grid Table 4 - Accent 6"/>
    <w:basedOn w:val="94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5 Dark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Grid Table 5 Dark- Accent 1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Grid Table 5 Dark - Accent 2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Grid Table 5 Dark - Accent 3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Grid Table 5 Dark- Accent 4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Grid Table 5 Dark - Accent 5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Grid Table 5 Dark - Accent 6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6 Colorful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Grid Table 6 Colorful - Accent 1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Grid Table 6 Colorful - Accent 2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Grid Table 6 Colorful - Accent 3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Grid Table 6 Colorful - Accent 4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Grid Table 6 Colorful - Accent 5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Grid Table 6 Colorful - Accent 6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7 Colorful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Grid Table 7 Colorful - Accent 1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Grid Table 7 Colorful - Accent 2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Grid Table 7 Colorful - Accent 3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Grid Table 7 Colorful - Accent 4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Grid Table 7 Colorful - Accent 5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Grid Table 7 Colorful - Accent 6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1 Light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1 Light - Accent 1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1 Light - Accent 2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1 Light - Accent 3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1 Light - Accent 4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1 Light - Accent 5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1 Light - Accent 6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2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2 - Accent 1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2 - Accent 2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2 - Accent 3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2 - Accent 4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2 - Accent 5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2 - Accent 6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3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3 - Accent 1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3 - Accent 2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st Table 3 - Accent 3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st Table 3 - Accent 4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st Table 3 - Accent 5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st Table 3 - Accent 6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4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st Table 4 - Accent 1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st Table 4 - Accent 2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List Table 4 - Accent 3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List Table 4 - Accent 4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List Table 4 - Accent 5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List Table 4 - Accent 6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5 Dark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st Table 5 Dark - Accent 1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st Table 5 Dark - Accent 2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List Table 5 Dark - Accent 3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List Table 5 Dark - Accent 4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List Table 5 Dark - Accent 5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List Table 5 Dark - Accent 6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6 Colorful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st Table 6 Colorful - Accent 1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List Table 6 Colorful - Accent 2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List Table 6 Colorful - Accent 3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List Table 6 Colorful - Accent 4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List Table 6 Colorful - Accent 5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List Table 6 Colorful - Accent 6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7 Colorful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List Table 7 Colorful - Accent 1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List Table 7 Colorful - Accent 2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List Table 7 Colorful - Accent 3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List Table 7 Colorful - Accent 4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List Table 7 Colorful - Accent 5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List Table 7 Colorful - Accent 6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ned - Accent"/>
    <w:basedOn w:val="94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Lined - Accent 1"/>
    <w:basedOn w:val="94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Lined - Accent 2"/>
    <w:basedOn w:val="94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Lined - Accent 3"/>
    <w:basedOn w:val="94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Lined - Accent 4"/>
    <w:basedOn w:val="94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Lined - Accent 5"/>
    <w:basedOn w:val="94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Lined - Accent 6"/>
    <w:basedOn w:val="94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Bordered &amp; Lined - Accent"/>
    <w:basedOn w:val="94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Bordered &amp; Lined - Accent 1"/>
    <w:basedOn w:val="94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Bordered &amp; Lined - Accent 2"/>
    <w:basedOn w:val="94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Bordered &amp; Lined - Accent 3"/>
    <w:basedOn w:val="94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Bordered &amp; Lined - Accent 4"/>
    <w:basedOn w:val="94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Bordered &amp; Lined - Accent 5"/>
    <w:basedOn w:val="94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Bordered &amp; Lined - Accent 6"/>
    <w:basedOn w:val="94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Bordered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Bordered - Accent 1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Bordered - Accent 2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Bordered - Accent 3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Bordered - Accent 4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Bordered - Accent 5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Bordered - Accent 6"/>
    <w:basedOn w:val="94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91">
    <w:name w:val="Heading 1"/>
    <w:basedOn w:val="947"/>
    <w:next w:val="947"/>
    <w:link w:val="90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92">
    <w:name w:val="Heading 2"/>
    <w:basedOn w:val="947"/>
    <w:next w:val="947"/>
    <w:link w:val="90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93">
    <w:name w:val="Heading 3"/>
    <w:basedOn w:val="947"/>
    <w:next w:val="947"/>
    <w:link w:val="90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94">
    <w:name w:val="Heading 4"/>
    <w:basedOn w:val="947"/>
    <w:next w:val="947"/>
    <w:link w:val="90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95">
    <w:name w:val="Heading 5"/>
    <w:basedOn w:val="947"/>
    <w:next w:val="947"/>
    <w:link w:val="90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96">
    <w:name w:val="Heading 6"/>
    <w:basedOn w:val="947"/>
    <w:next w:val="947"/>
    <w:link w:val="90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97">
    <w:name w:val="Heading 7"/>
    <w:basedOn w:val="947"/>
    <w:next w:val="947"/>
    <w:link w:val="90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98">
    <w:name w:val="Heading 8"/>
    <w:basedOn w:val="947"/>
    <w:next w:val="947"/>
    <w:link w:val="90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99">
    <w:name w:val="Heading 9"/>
    <w:basedOn w:val="947"/>
    <w:next w:val="947"/>
    <w:link w:val="90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900">
    <w:name w:val="Heading 1 Char"/>
    <w:basedOn w:val="948"/>
    <w:link w:val="89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901">
    <w:name w:val="Heading 2 Char"/>
    <w:basedOn w:val="948"/>
    <w:link w:val="89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902">
    <w:name w:val="Heading 3 Char"/>
    <w:basedOn w:val="948"/>
    <w:link w:val="89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903">
    <w:name w:val="Heading 4 Char"/>
    <w:basedOn w:val="948"/>
    <w:link w:val="894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904">
    <w:name w:val="Heading 5 Char"/>
    <w:basedOn w:val="948"/>
    <w:link w:val="89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905">
    <w:name w:val="Heading 6 Char"/>
    <w:basedOn w:val="948"/>
    <w:link w:val="896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06">
    <w:name w:val="Heading 7 Char"/>
    <w:basedOn w:val="948"/>
    <w:link w:val="897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07">
    <w:name w:val="Heading 8 Char"/>
    <w:basedOn w:val="948"/>
    <w:link w:val="89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08">
    <w:name w:val="Heading 9 Char"/>
    <w:basedOn w:val="948"/>
    <w:link w:val="899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09">
    <w:name w:val="Title"/>
    <w:basedOn w:val="947"/>
    <w:next w:val="947"/>
    <w:link w:val="91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10">
    <w:name w:val="Title Char"/>
    <w:basedOn w:val="948"/>
    <w:link w:val="90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11">
    <w:name w:val="Subtitle"/>
    <w:basedOn w:val="947"/>
    <w:next w:val="947"/>
    <w:link w:val="91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12">
    <w:name w:val="Subtitle Char"/>
    <w:basedOn w:val="948"/>
    <w:link w:val="91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13">
    <w:name w:val="Quote"/>
    <w:basedOn w:val="947"/>
    <w:next w:val="947"/>
    <w:link w:val="91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14">
    <w:name w:val="Quote Char"/>
    <w:basedOn w:val="948"/>
    <w:link w:val="91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915">
    <w:name w:val="Intense Emphasis"/>
    <w:basedOn w:val="9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16">
    <w:name w:val="Intense Quote"/>
    <w:basedOn w:val="947"/>
    <w:next w:val="947"/>
    <w:link w:val="917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17">
    <w:name w:val="Intense Quote Char"/>
    <w:basedOn w:val="948"/>
    <w:link w:val="916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18">
    <w:name w:val="Intense Reference"/>
    <w:basedOn w:val="9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919">
    <w:name w:val="Subtle Emphasis"/>
    <w:basedOn w:val="9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20">
    <w:name w:val="Emphasis"/>
    <w:basedOn w:val="948"/>
    <w:uiPriority w:val="20"/>
    <w:qFormat/>
    <w:pPr>
      <w:pBdr/>
      <w:spacing/>
      <w:ind/>
    </w:pPr>
    <w:rPr>
      <w:i/>
      <w:iCs/>
    </w:rPr>
  </w:style>
  <w:style w:type="character" w:styleId="921">
    <w:name w:val="Strong"/>
    <w:basedOn w:val="948"/>
    <w:uiPriority w:val="22"/>
    <w:qFormat/>
    <w:pPr>
      <w:pBdr/>
      <w:spacing/>
      <w:ind/>
    </w:pPr>
    <w:rPr>
      <w:b/>
      <w:bCs/>
    </w:rPr>
  </w:style>
  <w:style w:type="character" w:styleId="922">
    <w:name w:val="Subtle Reference"/>
    <w:basedOn w:val="9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23">
    <w:name w:val="Book Title"/>
    <w:basedOn w:val="948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924">
    <w:name w:val="Header Char"/>
    <w:basedOn w:val="948"/>
    <w:link w:val="953"/>
    <w:uiPriority w:val="99"/>
    <w:pPr>
      <w:pBdr/>
      <w:spacing/>
      <w:ind/>
    </w:pPr>
  </w:style>
  <w:style w:type="character" w:styleId="925">
    <w:name w:val="Footer Char"/>
    <w:basedOn w:val="948"/>
    <w:link w:val="955"/>
    <w:uiPriority w:val="99"/>
    <w:pPr>
      <w:pBdr/>
      <w:spacing/>
      <w:ind/>
    </w:pPr>
  </w:style>
  <w:style w:type="paragraph" w:styleId="926">
    <w:name w:val="Caption"/>
    <w:basedOn w:val="947"/>
    <w:next w:val="947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927">
    <w:name w:val="footnote text"/>
    <w:basedOn w:val="947"/>
    <w:link w:val="92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28">
    <w:name w:val="Footnote Text Char"/>
    <w:basedOn w:val="948"/>
    <w:link w:val="927"/>
    <w:uiPriority w:val="99"/>
    <w:semiHidden/>
    <w:pPr>
      <w:pBdr/>
      <w:spacing/>
      <w:ind/>
    </w:pPr>
    <w:rPr>
      <w:sz w:val="20"/>
      <w:szCs w:val="20"/>
    </w:rPr>
  </w:style>
  <w:style w:type="character" w:styleId="929">
    <w:name w:val="footnote reference"/>
    <w:basedOn w:val="948"/>
    <w:uiPriority w:val="99"/>
    <w:semiHidden/>
    <w:unhideWhenUsed/>
    <w:pPr>
      <w:pBdr/>
      <w:spacing/>
      <w:ind/>
    </w:pPr>
    <w:rPr>
      <w:vertAlign w:val="superscript"/>
    </w:rPr>
  </w:style>
  <w:style w:type="paragraph" w:styleId="930">
    <w:name w:val="endnote text"/>
    <w:basedOn w:val="947"/>
    <w:link w:val="93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31">
    <w:name w:val="Endnote Text Char"/>
    <w:basedOn w:val="948"/>
    <w:link w:val="930"/>
    <w:uiPriority w:val="99"/>
    <w:semiHidden/>
    <w:pPr>
      <w:pBdr/>
      <w:spacing/>
      <w:ind/>
    </w:pPr>
    <w:rPr>
      <w:sz w:val="20"/>
      <w:szCs w:val="20"/>
    </w:rPr>
  </w:style>
  <w:style w:type="character" w:styleId="932">
    <w:name w:val="endnote reference"/>
    <w:basedOn w:val="948"/>
    <w:uiPriority w:val="99"/>
    <w:semiHidden/>
    <w:unhideWhenUsed/>
    <w:pPr>
      <w:pBdr/>
      <w:spacing/>
      <w:ind/>
    </w:pPr>
    <w:rPr>
      <w:vertAlign w:val="superscript"/>
    </w:rPr>
  </w:style>
  <w:style w:type="character" w:styleId="933">
    <w:name w:val="Hyperlink"/>
    <w:basedOn w:val="9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34">
    <w:name w:val="FollowedHyperlink"/>
    <w:basedOn w:val="9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35">
    <w:name w:val="toc 1"/>
    <w:basedOn w:val="947"/>
    <w:next w:val="947"/>
    <w:uiPriority w:val="39"/>
    <w:unhideWhenUsed/>
    <w:pPr>
      <w:pBdr/>
      <w:spacing w:after="100"/>
      <w:ind/>
    </w:pPr>
  </w:style>
  <w:style w:type="paragraph" w:styleId="936">
    <w:name w:val="toc 2"/>
    <w:basedOn w:val="947"/>
    <w:next w:val="947"/>
    <w:uiPriority w:val="39"/>
    <w:unhideWhenUsed/>
    <w:pPr>
      <w:pBdr/>
      <w:spacing w:after="100"/>
      <w:ind w:left="220"/>
    </w:pPr>
  </w:style>
  <w:style w:type="paragraph" w:styleId="937">
    <w:name w:val="toc 3"/>
    <w:basedOn w:val="947"/>
    <w:next w:val="947"/>
    <w:uiPriority w:val="39"/>
    <w:unhideWhenUsed/>
    <w:pPr>
      <w:pBdr/>
      <w:spacing w:after="100"/>
      <w:ind w:left="440"/>
    </w:pPr>
  </w:style>
  <w:style w:type="paragraph" w:styleId="938">
    <w:name w:val="toc 4"/>
    <w:basedOn w:val="947"/>
    <w:next w:val="947"/>
    <w:uiPriority w:val="39"/>
    <w:unhideWhenUsed/>
    <w:pPr>
      <w:pBdr/>
      <w:spacing w:after="100"/>
      <w:ind w:left="660"/>
    </w:pPr>
  </w:style>
  <w:style w:type="paragraph" w:styleId="939">
    <w:name w:val="toc 5"/>
    <w:basedOn w:val="947"/>
    <w:next w:val="947"/>
    <w:uiPriority w:val="39"/>
    <w:unhideWhenUsed/>
    <w:pPr>
      <w:pBdr/>
      <w:spacing w:after="100"/>
      <w:ind w:left="880"/>
    </w:pPr>
  </w:style>
  <w:style w:type="paragraph" w:styleId="940">
    <w:name w:val="toc 6"/>
    <w:basedOn w:val="947"/>
    <w:next w:val="947"/>
    <w:uiPriority w:val="39"/>
    <w:unhideWhenUsed/>
    <w:pPr>
      <w:pBdr/>
      <w:spacing w:after="100"/>
      <w:ind w:left="1100"/>
    </w:pPr>
  </w:style>
  <w:style w:type="paragraph" w:styleId="941">
    <w:name w:val="toc 7"/>
    <w:basedOn w:val="947"/>
    <w:next w:val="947"/>
    <w:uiPriority w:val="39"/>
    <w:unhideWhenUsed/>
    <w:pPr>
      <w:pBdr/>
      <w:spacing w:after="100"/>
      <w:ind w:left="1320"/>
    </w:pPr>
  </w:style>
  <w:style w:type="paragraph" w:styleId="942">
    <w:name w:val="toc 8"/>
    <w:basedOn w:val="947"/>
    <w:next w:val="947"/>
    <w:uiPriority w:val="39"/>
    <w:unhideWhenUsed/>
    <w:pPr>
      <w:pBdr/>
      <w:spacing w:after="100"/>
      <w:ind w:left="1540"/>
    </w:pPr>
  </w:style>
  <w:style w:type="paragraph" w:styleId="943">
    <w:name w:val="toc 9"/>
    <w:basedOn w:val="947"/>
    <w:next w:val="947"/>
    <w:uiPriority w:val="39"/>
    <w:unhideWhenUsed/>
    <w:pPr>
      <w:pBdr/>
      <w:spacing w:after="100"/>
      <w:ind w:left="1760"/>
    </w:pPr>
  </w:style>
  <w:style w:type="character" w:styleId="944">
    <w:name w:val="Placeholder Text"/>
    <w:basedOn w:val="948"/>
    <w:uiPriority w:val="99"/>
    <w:semiHidden/>
    <w:pPr>
      <w:pBdr/>
      <w:spacing/>
      <w:ind/>
    </w:pPr>
    <w:rPr>
      <w:color w:val="666666"/>
    </w:rPr>
  </w:style>
  <w:style w:type="paragraph" w:styleId="945">
    <w:name w:val="TOC Heading"/>
    <w:uiPriority w:val="39"/>
    <w:unhideWhenUsed/>
    <w:pPr>
      <w:pBdr/>
      <w:spacing/>
      <w:ind/>
    </w:pPr>
  </w:style>
  <w:style w:type="paragraph" w:styleId="946">
    <w:name w:val="table of figures"/>
    <w:basedOn w:val="947"/>
    <w:next w:val="947"/>
    <w:uiPriority w:val="99"/>
    <w:unhideWhenUsed/>
    <w:pPr>
      <w:pBdr/>
      <w:spacing w:after="0" w:afterAutospacing="0"/>
      <w:ind/>
    </w:pPr>
  </w:style>
  <w:style w:type="paragraph" w:styleId="947" w:default="1">
    <w:name w:val="Normal"/>
    <w:qFormat/>
    <w:pPr>
      <w:pBdr/>
      <w:spacing/>
      <w:ind/>
    </w:pPr>
  </w:style>
  <w:style w:type="character" w:styleId="948" w:default="1">
    <w:name w:val="Default Paragraph Font"/>
    <w:uiPriority w:val="1"/>
    <w:semiHidden/>
    <w:unhideWhenUsed/>
    <w:pPr>
      <w:pBdr/>
      <w:spacing/>
      <w:ind/>
    </w:pPr>
  </w:style>
  <w:style w:type="table" w:styleId="949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50" w:default="1">
    <w:name w:val="No List"/>
    <w:uiPriority w:val="99"/>
    <w:semiHidden/>
    <w:unhideWhenUsed/>
    <w:pPr>
      <w:pBdr/>
      <w:spacing/>
      <w:ind/>
    </w:pPr>
  </w:style>
  <w:style w:type="paragraph" w:styleId="951">
    <w:name w:val="Balloon Text"/>
    <w:basedOn w:val="947"/>
    <w:link w:val="952"/>
    <w:uiPriority w:val="99"/>
    <w:semiHidden/>
    <w:unhideWhenUsed/>
    <w:pPr>
      <w:pBdr/>
      <w:spacing w:after="0" w:line="240" w:lineRule="auto"/>
      <w:ind/>
    </w:pPr>
    <w:rPr>
      <w:rFonts w:ascii="Tahoma" w:hAnsi="Tahoma" w:cs="Tahoma"/>
      <w:sz w:val="16"/>
      <w:szCs w:val="16"/>
    </w:rPr>
  </w:style>
  <w:style w:type="character" w:styleId="952" w:customStyle="1">
    <w:name w:val="Текст выноски Знак"/>
    <w:basedOn w:val="948"/>
    <w:link w:val="951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paragraph" w:styleId="953">
    <w:name w:val="Header"/>
    <w:basedOn w:val="947"/>
    <w:link w:val="954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954" w:customStyle="1">
    <w:name w:val="Верхний колонтитул Знак"/>
    <w:basedOn w:val="948"/>
    <w:link w:val="953"/>
    <w:uiPriority w:val="99"/>
    <w:pPr>
      <w:pBdr/>
      <w:spacing/>
      <w:ind/>
    </w:pPr>
  </w:style>
  <w:style w:type="paragraph" w:styleId="955">
    <w:name w:val="Footer"/>
    <w:basedOn w:val="947"/>
    <w:link w:val="956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956" w:customStyle="1">
    <w:name w:val="Нижний колонтитул Знак"/>
    <w:basedOn w:val="948"/>
    <w:link w:val="955"/>
    <w:uiPriority w:val="99"/>
    <w:pPr>
      <w:pBdr/>
      <w:spacing/>
      <w:ind/>
    </w:pPr>
  </w:style>
  <w:style w:type="paragraph" w:styleId="957">
    <w:name w:val="List Paragraph"/>
    <w:basedOn w:val="947"/>
    <w:uiPriority w:val="34"/>
    <w:qFormat/>
    <w:pPr>
      <w:pBdr/>
      <w:spacing/>
      <w:ind w:left="720"/>
      <w:contextualSpacing w:val="true"/>
    </w:pPr>
  </w:style>
  <w:style w:type="character" w:styleId="958" w:customStyle="1">
    <w:name w:val="ConsPlusNormal1"/>
    <w:link w:val="959"/>
    <w:pPr>
      <w:pBdr/>
      <w:spacing/>
      <w:ind/>
    </w:pPr>
    <w:rPr>
      <w:rFonts w:ascii="Times New Roman" w:hAnsi="Times New Roman" w:eastAsia="Times New Roman" w:cs="Calibri"/>
    </w:rPr>
  </w:style>
  <w:style w:type="paragraph" w:styleId="959" w:customStyle="1">
    <w:name w:val="ConsPlusNormal"/>
    <w:link w:val="958"/>
    <w:pPr>
      <w:widowControl w:val="false"/>
      <w:pBdr/>
      <w:spacing w:after="0" w:line="240" w:lineRule="auto"/>
      <w:ind/>
    </w:pPr>
    <w:rPr>
      <w:rFonts w:ascii="Times New Roman" w:hAnsi="Times New Roman" w:eastAsia="Times New Roman" w:cs="Calibri"/>
    </w:rPr>
  </w:style>
  <w:style w:type="paragraph" w:styleId="960">
    <w:name w:val="No Spacing"/>
    <w:uiPriority w:val="1"/>
    <w:qFormat/>
    <w:pPr>
      <w:pBdr/>
      <w:spacing w:after="0" w:line="240" w:lineRule="auto"/>
      <w:ind/>
    </w:pPr>
    <w:rPr>
      <w:rFonts w:ascii="Calibri" w:hAnsi="Calibri" w:eastAsia="Calibri" w:cs="Times New Roman"/>
    </w:rPr>
  </w:style>
  <w:style w:type="paragraph" w:styleId="961" w:customStyle="1">
    <w:name w:val="Основной текст (4)"/>
    <w:pPr>
      <w:keepNext w:val="false"/>
      <w:keepLines w:val="false"/>
      <w:pageBreakBefore w:val="false"/>
      <w:widowControl w:val="fals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clear" w:color="auto" w:fill="ffffff"/>
      <w:bidi w:val="false"/>
      <w:spacing w:after="0" w:afterAutospacing="0" w:before="0" w:beforeAutospacing="0" w:line="274" w:lineRule="exact"/>
      <w:ind w:right="0" w:firstLine="0" w:left="0"/>
      <w:contextualSpacing w:val="false"/>
      <w:jc w:val="both"/>
    </w:pPr>
    <w:rPr>
      <w:rFonts w:asciiTheme="minorHAnsi" w:hAnsiTheme="minorHAnsi" w:eastAsiaTheme="minorHAnsi" w:cstheme="minorBidi"/>
      <w:b w:val="0"/>
      <w:bCs w:val="0"/>
      <w:i/>
      <w:iCs/>
      <w:caps w:val="0"/>
      <w:smallCaps w:val="0"/>
      <w:strike w:val="0"/>
      <w:vanish w:val="0"/>
      <w:color w:val="auto"/>
      <w:spacing w:val="0"/>
      <w:position w:val="0"/>
      <w:sz w:val="23"/>
      <w:szCs w:val="23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962" w:customStyle="1">
    <w:name w:val="Основной текст (4)_"/>
    <w:pPr>
      <w:pBdr/>
      <w:spacing/>
      <w:ind/>
    </w:pPr>
    <w:rPr>
      <w:i/>
      <w:iCs/>
      <w:sz w:val="23"/>
      <w:szCs w:val="23"/>
      <w:shd w:val="clear" w:color="auto" w:fill="ffffff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customXml" Target="../customXml/item1.xml" /><Relationship Id="rId16" Type="http://schemas.openxmlformats.org/officeDocument/2006/relationships/image" Target="media/image1.png"/><Relationship Id="rId17" Type="http://schemas.openxmlformats.org/officeDocument/2006/relationships/image" Target="media/image2.png"/><Relationship Id="rId18" Type="http://schemas.openxmlformats.org/officeDocument/2006/relationships/image" Target="media/image3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70BF3F9B-E695-499A-83B4-DA4AB23D3978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ONLYOFFICE/9.3.1.8</Application>
  <DocSecurity>0</DocSecurity>
  <ScaleCrop>0</ScaleCrop>
  <HeadingPairs>
    <vt:vector size="0" baseType="variant"/>
  </HeadingPairs>
  <TitlesOfParts>
    <vt:vector size="0" baseType="lpstr"/>
  </TitlesOfParts>
  <Company>gypnor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revision>15</cp:revision>
  <dcterms:created xsi:type="dcterms:W3CDTF">2026-04-13T03:45:00Z</dcterms:created>
  <dcterms:modified xsi:type="dcterms:W3CDTF">2026-09-09T23:26:27Z</dcterms:modified>
</cp:coreProperties>
</file>